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6B4BD" w14:textId="0D0F240A" w:rsidR="00BA0077" w:rsidRPr="00091A92" w:rsidRDefault="00BA0077" w:rsidP="00091A92">
      <w:pPr>
        <w:shd w:val="clear" w:color="auto" w:fill="FFFFFF"/>
        <w:spacing w:after="0" w:line="276" w:lineRule="auto"/>
        <w:jc w:val="both"/>
        <w:rPr>
          <w:rFonts w:ascii="David" w:eastAsia="Times New Roman" w:hAnsi="David" w:cs="David"/>
          <w:color w:val="222222"/>
          <w:sz w:val="24"/>
          <w:szCs w:val="24"/>
        </w:rPr>
      </w:pPr>
      <w:r w:rsidRPr="00091A92">
        <w:rPr>
          <w:rFonts w:ascii="David" w:eastAsia="Times New Roman" w:hAnsi="David" w:cs="David"/>
          <w:b/>
          <w:bCs/>
          <w:sz w:val="24"/>
          <w:szCs w:val="24"/>
          <w:rtl/>
        </w:rPr>
        <w:t>פסיקות בעניין ניכור הור</w:t>
      </w:r>
      <w:r w:rsidRPr="00091A92">
        <w:rPr>
          <w:rFonts w:ascii="David" w:eastAsia="Times New Roman" w:hAnsi="David" w:cs="David"/>
          <w:sz w:val="24"/>
          <w:szCs w:val="24"/>
          <w:rtl/>
        </w:rPr>
        <w:t>י</w:t>
      </w:r>
      <w:r w:rsidRPr="00091A92">
        <w:rPr>
          <w:rFonts w:ascii="David" w:eastAsia="Times New Roman" w:hAnsi="David" w:cs="David"/>
          <w:sz w:val="24"/>
          <w:szCs w:val="24"/>
        </w:rPr>
        <w:t>:</w:t>
      </w:r>
    </w:p>
    <w:p w14:paraId="7A707CCA" w14:textId="1D864CD3" w:rsidR="00BA0077" w:rsidRPr="00091A92" w:rsidRDefault="00BA0077" w:rsidP="00091A92">
      <w:pPr>
        <w:shd w:val="clear" w:color="auto" w:fill="FFFFFF"/>
        <w:spacing w:after="0" w:line="276" w:lineRule="auto"/>
        <w:jc w:val="both"/>
        <w:rPr>
          <w:rFonts w:ascii="David" w:eastAsia="Times New Roman" w:hAnsi="David" w:cs="David"/>
          <w:color w:val="222222"/>
          <w:sz w:val="24"/>
          <w:szCs w:val="24"/>
        </w:rPr>
      </w:pPr>
      <w:r w:rsidRPr="00091A92">
        <w:rPr>
          <w:rFonts w:ascii="David" w:eastAsia="Times New Roman" w:hAnsi="David" w:cs="David"/>
          <w:sz w:val="24"/>
          <w:szCs w:val="24"/>
          <w:rtl/>
        </w:rPr>
        <w:t xml:space="preserve">1. </w:t>
      </w:r>
      <w:r w:rsidRPr="00091A92">
        <w:rPr>
          <w:rFonts w:ascii="David" w:eastAsia="Times New Roman" w:hAnsi="David" w:cs="David"/>
          <w:sz w:val="24"/>
          <w:szCs w:val="24"/>
        </w:rPr>
        <w:t xml:space="preserve"> </w:t>
      </w:r>
      <w:r w:rsidRPr="00091A92">
        <w:rPr>
          <w:rFonts w:ascii="David" w:eastAsia="Times New Roman" w:hAnsi="David" w:cs="David"/>
          <w:sz w:val="24"/>
          <w:szCs w:val="24"/>
          <w:rtl/>
        </w:rPr>
        <w:t>ביטול מזונות בשל "סרבנות קשר", הינה עתירה קיצונית וחריפה, שבתי המשפט נעתרים לה אך במקרים חריגים בחומרתם</w:t>
      </w:r>
      <w:r w:rsidRPr="00091A92">
        <w:rPr>
          <w:rFonts w:ascii="David" w:eastAsia="Times New Roman" w:hAnsi="David" w:cs="David"/>
          <w:sz w:val="24"/>
          <w:szCs w:val="24"/>
        </w:rPr>
        <w:t xml:space="preserve"> -  </w:t>
      </w:r>
      <w:r w:rsidRPr="00091A92">
        <w:rPr>
          <w:rFonts w:ascii="David" w:eastAsia="Times New Roman" w:hAnsi="David" w:cs="David"/>
          <w:sz w:val="24"/>
          <w:szCs w:val="24"/>
          <w:rtl/>
        </w:rPr>
        <w:t>ע"א 1741/93</w:t>
      </w:r>
      <w:r w:rsidRPr="00091A92">
        <w:rPr>
          <w:rFonts w:ascii="David" w:eastAsia="Times New Roman" w:hAnsi="David" w:cs="David"/>
          <w:sz w:val="24"/>
          <w:szCs w:val="24"/>
        </w:rPr>
        <w:t> </w:t>
      </w:r>
      <w:r w:rsidRPr="00091A92">
        <w:rPr>
          <w:rFonts w:ascii="David" w:eastAsia="Times New Roman" w:hAnsi="David" w:cs="David"/>
          <w:sz w:val="24"/>
          <w:szCs w:val="24"/>
          <w:rtl/>
        </w:rPr>
        <w:t>אזולאי נ' אזולאי </w:t>
      </w:r>
      <w:r w:rsidRPr="00091A92">
        <w:rPr>
          <w:rFonts w:ascii="David" w:eastAsia="Times New Roman" w:hAnsi="David" w:cs="David"/>
          <w:sz w:val="24"/>
          <w:szCs w:val="24"/>
        </w:rPr>
        <w:t xml:space="preserve">13.7.94)), </w:t>
      </w:r>
      <w:r w:rsidRPr="00091A92">
        <w:rPr>
          <w:rFonts w:ascii="David" w:eastAsia="Times New Roman" w:hAnsi="David" w:cs="David"/>
          <w:sz w:val="24"/>
          <w:szCs w:val="24"/>
          <w:rtl/>
        </w:rPr>
        <w:t>שם נקבע ""שלילת מזונות היא צעד קיצוני וחריף אשר יש להימנע ממנו אלא אם כן קיימות נסיבות יוצאות דופן</w:t>
      </w:r>
      <w:r w:rsidRPr="00091A92">
        <w:rPr>
          <w:rFonts w:ascii="David" w:eastAsia="Times New Roman" w:hAnsi="David" w:cs="David"/>
          <w:sz w:val="24"/>
          <w:szCs w:val="24"/>
        </w:rPr>
        <w:t>".</w:t>
      </w:r>
    </w:p>
    <w:p w14:paraId="44622A99" w14:textId="77777777" w:rsidR="00BA0077" w:rsidRPr="00091A92" w:rsidRDefault="00BA0077" w:rsidP="00091A92">
      <w:pPr>
        <w:shd w:val="clear" w:color="auto" w:fill="FFFFFF"/>
        <w:spacing w:after="0" w:line="276" w:lineRule="auto"/>
        <w:jc w:val="both"/>
        <w:rPr>
          <w:rFonts w:ascii="David" w:eastAsia="Times New Roman" w:hAnsi="David" w:cs="David"/>
          <w:sz w:val="24"/>
          <w:szCs w:val="24"/>
          <w:rtl/>
        </w:rPr>
      </w:pPr>
    </w:p>
    <w:p w14:paraId="4870522F" w14:textId="726FC193" w:rsidR="00BA0077" w:rsidRPr="00091A92" w:rsidRDefault="00BA0077" w:rsidP="00091A92">
      <w:pPr>
        <w:shd w:val="clear" w:color="auto" w:fill="FFFFFF"/>
        <w:spacing w:after="0" w:line="276" w:lineRule="auto"/>
        <w:jc w:val="both"/>
        <w:rPr>
          <w:rFonts w:ascii="David" w:eastAsia="Times New Roman" w:hAnsi="David" w:cs="David"/>
          <w:sz w:val="24"/>
          <w:szCs w:val="24"/>
        </w:rPr>
      </w:pPr>
      <w:r w:rsidRPr="00091A92">
        <w:rPr>
          <w:rFonts w:ascii="David" w:eastAsia="Times New Roman" w:hAnsi="David" w:cs="David"/>
          <w:sz w:val="24"/>
          <w:szCs w:val="24"/>
          <w:rtl/>
        </w:rPr>
        <w:t>2. בחינת השיקולים שנקבעו בפסיקת בתי המשפט למשפחה, בשאלה האם יש מקום להפחית או לשלול מזונות בשל "סרבנות קשר" - תמ"ש 59890/08 פלוני נ' פלונית (ניתן ביום 4.9.11) ו-  בתמ"ש 50547-05-10 פלוני נ' פלונית (ניתן ביום 11.1.12). שבו, ובין היתר, נקבעו שיקולים אלו: ביטול המזונות ייעשה במקרים קיצונים ונדירים ויש לשקול תמיד חלופה מתונה יותר כגון הקטנת מזונות.  יש לבחון סרבנות הקשר נובעת אך ורק מרצונו האמיתי </w:t>
      </w:r>
      <w:r w:rsidRPr="00091A92">
        <w:rPr>
          <w:rFonts w:ascii="David" w:eastAsia="Times New Roman" w:hAnsi="David" w:cs="David"/>
          <w:color w:val="0000FF"/>
          <w:sz w:val="20"/>
          <w:szCs w:val="20"/>
          <w:rtl/>
        </w:rPr>
        <w:t>והעצמאי</w:t>
      </w:r>
      <w:r w:rsidRPr="00091A92">
        <w:rPr>
          <w:rFonts w:ascii="David" w:eastAsia="Times New Roman" w:hAnsi="David" w:cs="David"/>
          <w:sz w:val="24"/>
          <w:szCs w:val="24"/>
          <w:rtl/>
        </w:rPr>
        <w:t> של הילד או שקיימת  אשמה מצד האב או האם למצב שנוצר. יש לבחון האם האב נקט בכל הפעולות והמאמצים הנדרשים לצורך חידוש הקשר. יש לבחון האם ביטול המזונות עלול לגרום לסיכול הסיכוי לחידוש הקשר. יש לבחון מה תהיה השפעת ביטול המזונות על אפשרות קיומם הסביר של הקטינים</w:t>
      </w:r>
      <w:r w:rsidRPr="00091A92">
        <w:rPr>
          <w:rFonts w:ascii="David" w:eastAsia="Times New Roman" w:hAnsi="David" w:cs="David"/>
          <w:sz w:val="24"/>
          <w:szCs w:val="24"/>
        </w:rPr>
        <w:t>.</w:t>
      </w:r>
    </w:p>
    <w:p w14:paraId="4892B0B2" w14:textId="77777777" w:rsidR="00BA0077" w:rsidRPr="00091A92" w:rsidRDefault="00BA0077" w:rsidP="00091A92">
      <w:pPr>
        <w:shd w:val="clear" w:color="auto" w:fill="FFFFFF"/>
        <w:spacing w:after="0" w:line="276" w:lineRule="auto"/>
        <w:jc w:val="both"/>
        <w:rPr>
          <w:rFonts w:ascii="David" w:eastAsia="Times New Roman" w:hAnsi="David" w:cs="David"/>
          <w:sz w:val="24"/>
          <w:szCs w:val="24"/>
          <w:rtl/>
        </w:rPr>
      </w:pPr>
    </w:p>
    <w:p w14:paraId="180DB835" w14:textId="050915B7" w:rsidR="00BA0077" w:rsidRPr="00091A92" w:rsidRDefault="00BA0077" w:rsidP="00091A92">
      <w:pPr>
        <w:shd w:val="clear" w:color="auto" w:fill="FFFFFF"/>
        <w:spacing w:after="0" w:line="276" w:lineRule="auto"/>
        <w:jc w:val="both"/>
        <w:rPr>
          <w:rFonts w:ascii="David" w:eastAsia="Times New Roman" w:hAnsi="David" w:cs="David"/>
          <w:color w:val="0000FF"/>
          <w:sz w:val="20"/>
          <w:szCs w:val="20"/>
        </w:rPr>
      </w:pPr>
      <w:r w:rsidRPr="00091A92">
        <w:rPr>
          <w:rFonts w:ascii="David" w:eastAsia="Times New Roman" w:hAnsi="David" w:cs="David"/>
          <w:sz w:val="24"/>
          <w:szCs w:val="24"/>
          <w:rtl/>
        </w:rPr>
        <w:t xml:space="preserve">3. </w:t>
      </w:r>
      <w:r w:rsidRPr="00091A92">
        <w:rPr>
          <w:rFonts w:ascii="David" w:eastAsia="Times New Roman" w:hAnsi="David" w:cs="David"/>
          <w:sz w:val="24"/>
          <w:szCs w:val="24"/>
        </w:rPr>
        <w:t xml:space="preserve"> </w:t>
      </w:r>
      <w:r w:rsidRPr="00091A92">
        <w:rPr>
          <w:rFonts w:ascii="David" w:eastAsia="Times New Roman" w:hAnsi="David" w:cs="David"/>
          <w:sz w:val="24"/>
          <w:szCs w:val="24"/>
          <w:rtl/>
        </w:rPr>
        <w:t>כאשר נקבע כי כאשר לאב תרומה ניכרת בהתנהגותו להרחקת הקטין ממנו אין מקום להיעתר לדרישתו לשלול את מזונות הקטין - תמש (ראשל"צ) 35790/05 מ.ע נ' ש.ע (פורסם בנבו. ניתן ביום 12.04.10)</w:t>
      </w:r>
      <w:r w:rsidRPr="00091A92">
        <w:rPr>
          <w:rFonts w:ascii="David" w:eastAsia="Times New Roman" w:hAnsi="David" w:cs="David"/>
          <w:sz w:val="24"/>
          <w:szCs w:val="24"/>
        </w:rPr>
        <w:t>.</w:t>
      </w:r>
    </w:p>
    <w:p w14:paraId="47F31BBC" w14:textId="1D50755E" w:rsidR="00BA0077" w:rsidRPr="00091A92" w:rsidRDefault="00BA0077" w:rsidP="00091A92">
      <w:pPr>
        <w:spacing w:line="276" w:lineRule="auto"/>
        <w:jc w:val="both"/>
        <w:rPr>
          <w:rFonts w:ascii="David" w:hAnsi="David" w:cs="David"/>
          <w:rtl/>
        </w:rPr>
      </w:pPr>
    </w:p>
    <w:p w14:paraId="1F161FB8" w14:textId="3DDF8546" w:rsidR="00091A92" w:rsidRPr="00091A92" w:rsidRDefault="00091A92" w:rsidP="00091A92">
      <w:pPr>
        <w:spacing w:line="276" w:lineRule="auto"/>
        <w:jc w:val="center"/>
        <w:rPr>
          <w:rFonts w:ascii="David" w:hAnsi="David" w:cs="David"/>
          <w:b/>
          <w:bCs/>
          <w:u w:val="single"/>
          <w:rtl/>
        </w:rPr>
      </w:pPr>
      <w:r w:rsidRPr="00091A92">
        <w:rPr>
          <w:rFonts w:ascii="David" w:hAnsi="David" w:cs="David"/>
          <w:b/>
          <w:bCs/>
          <w:u w:val="single"/>
          <w:rtl/>
        </w:rPr>
        <w:t>רשימת פסקי הדין שאוזכרו –</w:t>
      </w:r>
      <w:r w:rsidRPr="00091A92">
        <w:rPr>
          <w:rFonts w:ascii="David" w:hAnsi="David" w:cs="David" w:hint="cs"/>
          <w:b/>
          <w:bCs/>
          <w:u w:val="single"/>
          <w:rtl/>
        </w:rPr>
        <w:t xml:space="preserve"> </w:t>
      </w:r>
      <w:r w:rsidRPr="00091A92">
        <w:rPr>
          <w:rFonts w:ascii="David" w:hAnsi="David" w:cs="David"/>
          <w:b/>
          <w:bCs/>
          <w:u w:val="single"/>
          <w:rtl/>
        </w:rPr>
        <w:t>ניכור הורי -</w:t>
      </w:r>
    </w:p>
    <w:p w14:paraId="2ECB93D0" w14:textId="77777777" w:rsidR="00091A92" w:rsidRPr="00091A92" w:rsidRDefault="00091A92" w:rsidP="00091A92">
      <w:pPr>
        <w:spacing w:line="276" w:lineRule="auto"/>
        <w:rPr>
          <w:rFonts w:ascii="David" w:hAnsi="David" w:cs="David"/>
          <w:rtl/>
        </w:rPr>
      </w:pPr>
    </w:p>
    <w:p w14:paraId="52F24E5B"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49688-02-19 ארז שני (פורסם בנבו)</w:t>
      </w:r>
    </w:p>
    <w:p w14:paraId="34B4D0F3" w14:textId="77777777" w:rsidR="00091A92" w:rsidRPr="00091A92" w:rsidRDefault="00091A92" w:rsidP="00091A92">
      <w:pPr>
        <w:spacing w:line="276" w:lineRule="auto"/>
        <w:rPr>
          <w:rFonts w:ascii="David" w:hAnsi="David" w:cs="David"/>
          <w:rtl/>
        </w:rPr>
      </w:pPr>
    </w:p>
    <w:p w14:paraId="17C0D697"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י"ס (ת"א) ארז שני 5046-10-19 (פורסם בנבו)</w:t>
      </w:r>
    </w:p>
    <w:p w14:paraId="5BF5304D" w14:textId="77777777" w:rsidR="00091A92" w:rsidRPr="00091A92" w:rsidRDefault="00091A92" w:rsidP="00091A92">
      <w:pPr>
        <w:spacing w:line="276" w:lineRule="auto"/>
        <w:rPr>
          <w:rFonts w:ascii="David" w:hAnsi="David" w:cs="David"/>
          <w:rtl/>
        </w:rPr>
      </w:pPr>
    </w:p>
    <w:p w14:paraId="684AE4D1"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רמ"ש מחוזי חיפה 45319-05-19 (פורסם בנבו)</w:t>
      </w:r>
    </w:p>
    <w:p w14:paraId="1C3926E1" w14:textId="77777777" w:rsidR="00091A92" w:rsidRPr="00091A92" w:rsidRDefault="00091A92" w:rsidP="00091A92">
      <w:pPr>
        <w:spacing w:line="276" w:lineRule="auto"/>
        <w:rPr>
          <w:rFonts w:ascii="David" w:hAnsi="David" w:cs="David"/>
          <w:rtl/>
        </w:rPr>
      </w:pPr>
    </w:p>
    <w:p w14:paraId="5795505E"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42819-04-19 ארז שני (פורסם במבו)</w:t>
      </w:r>
    </w:p>
    <w:p w14:paraId="1638FCB2" w14:textId="77777777" w:rsidR="00091A92" w:rsidRPr="00091A92" w:rsidRDefault="00091A92" w:rsidP="00091A92">
      <w:pPr>
        <w:spacing w:line="276" w:lineRule="auto"/>
        <w:rPr>
          <w:rFonts w:ascii="David" w:hAnsi="David" w:cs="David"/>
          <w:rtl/>
        </w:rPr>
      </w:pPr>
    </w:p>
    <w:p w14:paraId="2342E446"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י"ס 21954-06-19 ארז שני (פורסם בנבו)</w:t>
      </w:r>
    </w:p>
    <w:p w14:paraId="583C2054" w14:textId="77777777" w:rsidR="00091A92" w:rsidRPr="00091A92" w:rsidRDefault="00091A92" w:rsidP="00091A92">
      <w:pPr>
        <w:spacing w:line="276" w:lineRule="auto"/>
        <w:rPr>
          <w:rFonts w:ascii="David" w:hAnsi="David" w:cs="David"/>
          <w:rtl/>
        </w:rPr>
      </w:pPr>
    </w:p>
    <w:p w14:paraId="15B11A9F"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52281-06-19 ארז שני (פורסם בנבו)</w:t>
      </w:r>
    </w:p>
    <w:p w14:paraId="46571303" w14:textId="77777777" w:rsidR="00091A92" w:rsidRPr="00091A92" w:rsidRDefault="00091A92" w:rsidP="00091A92">
      <w:pPr>
        <w:spacing w:line="276" w:lineRule="auto"/>
        <w:rPr>
          <w:rFonts w:ascii="David" w:hAnsi="David" w:cs="David"/>
          <w:rtl/>
        </w:rPr>
      </w:pPr>
    </w:p>
    <w:p w14:paraId="15813E59"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49216-01-22 ארז שני (פורסם בנבו)</w:t>
      </w:r>
    </w:p>
    <w:p w14:paraId="1A419129" w14:textId="77777777" w:rsidR="00091A92" w:rsidRPr="00091A92" w:rsidRDefault="00091A92" w:rsidP="00091A92">
      <w:pPr>
        <w:spacing w:line="276" w:lineRule="auto"/>
        <w:rPr>
          <w:rFonts w:ascii="David" w:hAnsi="David" w:cs="David"/>
          <w:rtl/>
        </w:rPr>
      </w:pPr>
    </w:p>
    <w:p w14:paraId="606A878B"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41399-10-20 ארז שני (פורסם בנבו)</w:t>
      </w:r>
    </w:p>
    <w:p w14:paraId="71DEBB6E" w14:textId="77777777" w:rsidR="00091A92" w:rsidRPr="00091A92" w:rsidRDefault="00091A92" w:rsidP="00091A92">
      <w:pPr>
        <w:spacing w:line="276" w:lineRule="auto"/>
        <w:rPr>
          <w:rFonts w:ascii="David" w:hAnsi="David" w:cs="David"/>
          <w:rtl/>
        </w:rPr>
      </w:pPr>
    </w:p>
    <w:p w14:paraId="08C9664C"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1503-02-18 ארז שני (פורסם בנבו)</w:t>
      </w:r>
    </w:p>
    <w:p w14:paraId="3166247D" w14:textId="77777777" w:rsidR="00091A92" w:rsidRPr="00091A92" w:rsidRDefault="00091A92" w:rsidP="00091A92">
      <w:pPr>
        <w:spacing w:line="276" w:lineRule="auto"/>
        <w:rPr>
          <w:rFonts w:ascii="David" w:hAnsi="David" w:cs="David"/>
          <w:rtl/>
        </w:rPr>
      </w:pPr>
    </w:p>
    <w:p w14:paraId="36928FB3"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15983-05-21 ארז שני (פורסם בנבו)</w:t>
      </w:r>
    </w:p>
    <w:p w14:paraId="2F9F9A06" w14:textId="77777777" w:rsidR="00091A92" w:rsidRPr="00091A92" w:rsidRDefault="00091A92" w:rsidP="00091A92">
      <w:pPr>
        <w:spacing w:line="276" w:lineRule="auto"/>
        <w:rPr>
          <w:rFonts w:ascii="David" w:hAnsi="David" w:cs="David"/>
          <w:rtl/>
        </w:rPr>
      </w:pPr>
    </w:p>
    <w:p w14:paraId="18E4A369"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lastRenderedPageBreak/>
        <w:t>עמ"ש תל אביב 60592-03-15 (פורסם בנבו)</w:t>
      </w:r>
    </w:p>
    <w:p w14:paraId="165DB4B6" w14:textId="77777777" w:rsidR="00091A92" w:rsidRPr="00091A92" w:rsidRDefault="00091A92" w:rsidP="00091A92">
      <w:pPr>
        <w:spacing w:line="276" w:lineRule="auto"/>
        <w:rPr>
          <w:rFonts w:ascii="David" w:hAnsi="David" w:cs="David"/>
          <w:rtl/>
        </w:rPr>
      </w:pPr>
    </w:p>
    <w:p w14:paraId="23EA5B1F"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63250-05-20 ארז שני (פורסם בנבו)</w:t>
      </w:r>
    </w:p>
    <w:p w14:paraId="70B68628" w14:textId="77777777" w:rsidR="00091A92" w:rsidRPr="00091A92" w:rsidRDefault="00091A92" w:rsidP="00091A92">
      <w:pPr>
        <w:spacing w:line="276" w:lineRule="auto"/>
        <w:rPr>
          <w:rFonts w:ascii="David" w:hAnsi="David" w:cs="David"/>
          <w:rtl/>
        </w:rPr>
      </w:pPr>
    </w:p>
    <w:p w14:paraId="25459AD4"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65418-11-19 ארז שני (פורסם בנבו)</w:t>
      </w:r>
    </w:p>
    <w:p w14:paraId="7A5178E0" w14:textId="77777777" w:rsidR="00091A92" w:rsidRPr="00091A92" w:rsidRDefault="00091A92" w:rsidP="00091A92">
      <w:pPr>
        <w:spacing w:line="276" w:lineRule="auto"/>
        <w:rPr>
          <w:rFonts w:ascii="David" w:hAnsi="David" w:cs="David"/>
          <w:rtl/>
        </w:rPr>
      </w:pPr>
    </w:p>
    <w:p w14:paraId="22971C9E"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קריית גת 11604-12-18 פאני גילת (פורסם בנבו)</w:t>
      </w:r>
    </w:p>
    <w:p w14:paraId="1A319AF7" w14:textId="77777777" w:rsidR="00091A92" w:rsidRPr="00091A92" w:rsidRDefault="00091A92" w:rsidP="00091A92">
      <w:pPr>
        <w:spacing w:line="276" w:lineRule="auto"/>
        <w:rPr>
          <w:rFonts w:ascii="David" w:hAnsi="David" w:cs="David"/>
          <w:rtl/>
        </w:rPr>
      </w:pPr>
    </w:p>
    <w:p w14:paraId="7C12A6BB"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נצרת 6638-12-15 רונית גורביץ (פורסם בנבו)</w:t>
      </w:r>
    </w:p>
    <w:p w14:paraId="72934C31" w14:textId="77777777" w:rsidR="00091A92" w:rsidRPr="00091A92" w:rsidRDefault="00091A92" w:rsidP="00091A92">
      <w:pPr>
        <w:spacing w:line="276" w:lineRule="auto"/>
        <w:rPr>
          <w:rFonts w:ascii="David" w:hAnsi="David" w:cs="David"/>
          <w:rtl/>
        </w:rPr>
      </w:pPr>
    </w:p>
    <w:p w14:paraId="17DEE22C"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46300-06-16 רותם קודלר עיאש משפחה אשדוד (פורסם בנבו)</w:t>
      </w:r>
    </w:p>
    <w:p w14:paraId="5C977AE3" w14:textId="77777777" w:rsidR="00091A92" w:rsidRPr="00091A92" w:rsidRDefault="00091A92" w:rsidP="00091A92">
      <w:pPr>
        <w:spacing w:line="276" w:lineRule="auto"/>
        <w:rPr>
          <w:rFonts w:ascii="David" w:hAnsi="David" w:cs="David"/>
          <w:rtl/>
        </w:rPr>
      </w:pPr>
    </w:p>
    <w:p w14:paraId="3A524C8D"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1495-08-20 הילה גורביץ משםחה חיפה (פורסם בנבו)</w:t>
      </w:r>
    </w:p>
    <w:p w14:paraId="024FA142" w14:textId="77777777" w:rsidR="00091A92" w:rsidRPr="00091A92" w:rsidRDefault="00091A92" w:rsidP="00091A92">
      <w:pPr>
        <w:spacing w:line="276" w:lineRule="auto"/>
        <w:rPr>
          <w:rFonts w:ascii="David" w:hAnsi="David" w:cs="David"/>
          <w:rtl/>
        </w:rPr>
      </w:pPr>
    </w:p>
    <w:p w14:paraId="43EA00E5"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ראשל"צ מירית פולוס 27970-11-20 (פורסם בנבו)</w:t>
      </w:r>
    </w:p>
    <w:p w14:paraId="03313993" w14:textId="77777777" w:rsidR="00091A92" w:rsidRPr="00091A92" w:rsidRDefault="00091A92" w:rsidP="00091A92">
      <w:pPr>
        <w:spacing w:line="276" w:lineRule="auto"/>
        <w:rPr>
          <w:rFonts w:ascii="David" w:hAnsi="David" w:cs="David"/>
          <w:rtl/>
        </w:rPr>
      </w:pPr>
    </w:p>
    <w:p w14:paraId="127A617F"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העתקת מקום מגורים  -</w:t>
      </w:r>
    </w:p>
    <w:p w14:paraId="7BFAF53D" w14:textId="77777777" w:rsidR="00091A92" w:rsidRPr="00091A92" w:rsidRDefault="00091A92" w:rsidP="00091A92">
      <w:pPr>
        <w:spacing w:line="276" w:lineRule="auto"/>
        <w:rPr>
          <w:rFonts w:ascii="David" w:hAnsi="David" w:cs="David"/>
          <w:rtl/>
        </w:rPr>
      </w:pPr>
    </w:p>
    <w:p w14:paraId="659F2D87"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23255-01-16 אלון גביזון משפחה ב"ש</w:t>
      </w:r>
    </w:p>
    <w:p w14:paraId="26A2845D" w14:textId="77777777" w:rsidR="00091A92" w:rsidRPr="00091A92" w:rsidRDefault="00091A92" w:rsidP="00091A92">
      <w:pPr>
        <w:spacing w:line="276" w:lineRule="auto"/>
        <w:rPr>
          <w:rFonts w:ascii="David" w:hAnsi="David" w:cs="David"/>
          <w:rtl/>
        </w:rPr>
      </w:pPr>
    </w:p>
    <w:p w14:paraId="32B352A5" w14:textId="43BCA1FA" w:rsidR="00091A92" w:rsidRPr="00091A92" w:rsidRDefault="00091A92" w:rsidP="00091A92">
      <w:pPr>
        <w:pStyle w:val="ListParagraph"/>
        <w:numPr>
          <w:ilvl w:val="0"/>
          <w:numId w:val="1"/>
        </w:numPr>
        <w:spacing w:line="276" w:lineRule="auto"/>
        <w:jc w:val="both"/>
        <w:rPr>
          <w:rFonts w:ascii="David" w:hAnsi="David" w:cs="David"/>
        </w:rPr>
      </w:pPr>
      <w:r w:rsidRPr="00091A92">
        <w:rPr>
          <w:rFonts w:ascii="David" w:hAnsi="David" w:cs="David"/>
          <w:rtl/>
        </w:rPr>
        <w:t>תלה"מ 2379-06-21 עפרה גיא משפחה אשדוד (פורסם בנבו)</w:t>
      </w:r>
    </w:p>
    <w:sectPr w:rsidR="00091A92" w:rsidRPr="00091A92"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83F79"/>
    <w:multiLevelType w:val="hybridMultilevel"/>
    <w:tmpl w:val="707CA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77"/>
    <w:rsid w:val="00091A92"/>
    <w:rsid w:val="000A13FE"/>
    <w:rsid w:val="00BA0077"/>
    <w:rsid w:val="00C26C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188BF"/>
  <w15:chartTrackingRefBased/>
  <w15:docId w15:val="{53ADAD09-6C72-44E2-87B1-2F908B2A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007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91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81269">
      <w:bodyDiv w:val="1"/>
      <w:marLeft w:val="0"/>
      <w:marRight w:val="0"/>
      <w:marTop w:val="0"/>
      <w:marBottom w:val="0"/>
      <w:divBdr>
        <w:top w:val="none" w:sz="0" w:space="0" w:color="auto"/>
        <w:left w:val="none" w:sz="0" w:space="0" w:color="auto"/>
        <w:bottom w:val="none" w:sz="0" w:space="0" w:color="auto"/>
        <w:right w:val="none" w:sz="0" w:space="0" w:color="auto"/>
      </w:divBdr>
    </w:div>
    <w:div w:id="1572740665">
      <w:bodyDiv w:val="1"/>
      <w:marLeft w:val="0"/>
      <w:marRight w:val="0"/>
      <w:marTop w:val="0"/>
      <w:marBottom w:val="0"/>
      <w:divBdr>
        <w:top w:val="none" w:sz="0" w:space="0" w:color="auto"/>
        <w:left w:val="none" w:sz="0" w:space="0" w:color="auto"/>
        <w:bottom w:val="none" w:sz="0" w:space="0" w:color="auto"/>
        <w:right w:val="none" w:sz="0" w:space="0" w:color="auto"/>
      </w:divBdr>
      <w:divsChild>
        <w:div w:id="1292829906">
          <w:marLeft w:val="0"/>
          <w:marRight w:val="0"/>
          <w:marTop w:val="0"/>
          <w:marBottom w:val="0"/>
          <w:divBdr>
            <w:top w:val="none" w:sz="0" w:space="0" w:color="auto"/>
            <w:left w:val="none" w:sz="0" w:space="0" w:color="auto"/>
            <w:bottom w:val="none" w:sz="0" w:space="0" w:color="auto"/>
            <w:right w:val="none" w:sz="0" w:space="0" w:color="auto"/>
          </w:divBdr>
        </w:div>
        <w:div w:id="1697585559">
          <w:marLeft w:val="0"/>
          <w:marRight w:val="0"/>
          <w:marTop w:val="0"/>
          <w:marBottom w:val="0"/>
          <w:divBdr>
            <w:top w:val="none" w:sz="0" w:space="0" w:color="auto"/>
            <w:left w:val="none" w:sz="0" w:space="0" w:color="auto"/>
            <w:bottom w:val="none" w:sz="0" w:space="0" w:color="auto"/>
            <w:right w:val="none" w:sz="0" w:space="0" w:color="auto"/>
          </w:divBdr>
        </w:div>
        <w:div w:id="939484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342</Words>
  <Characters>1714</Characters>
  <Application>Microsoft Office Word</Application>
  <DocSecurity>0</DocSecurity>
  <Lines>14</Lines>
  <Paragraphs>4</Paragraphs>
  <ScaleCrop>false</ScaleCrop>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erick dahan</dc:creator>
  <cp:keywords/>
  <dc:description/>
  <cp:lastModifiedBy>erick dahan</cp:lastModifiedBy>
  <cp:revision>2</cp:revision>
  <dcterms:created xsi:type="dcterms:W3CDTF">2022-03-30T10:34:00Z</dcterms:created>
  <dcterms:modified xsi:type="dcterms:W3CDTF">2022-04-04T17:03:00Z</dcterms:modified>
</cp:coreProperties>
</file>