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61A1" w14:textId="78BA8C16" w:rsidR="002C2E29" w:rsidRPr="00E635A2" w:rsidRDefault="00E22F9A" w:rsidP="00E635A2">
      <w:pPr>
        <w:jc w:val="right"/>
        <w:rPr>
          <w:rFonts w:cs="David"/>
          <w:b/>
          <w:bCs/>
          <w:sz w:val="20"/>
          <w:szCs w:val="20"/>
        </w:rPr>
      </w:pPr>
      <w:r>
        <w:rPr>
          <w:rFonts w:cs="David" w:hint="cs"/>
          <w:sz w:val="20"/>
          <w:szCs w:val="20"/>
          <w:rtl/>
        </w:rPr>
        <w:t xml:space="preserve">  </w:t>
      </w:r>
      <w:r w:rsidR="004033D8" w:rsidRPr="00E635A2">
        <w:rPr>
          <w:rFonts w:cs="David" w:hint="cs"/>
          <w:sz w:val="20"/>
          <w:szCs w:val="20"/>
          <w:rtl/>
        </w:rPr>
        <w:t xml:space="preserve">מספר פנימי: </w:t>
      </w:r>
      <w:bookmarkStart w:id="0" w:name="LGS_Internal_ID"/>
      <w:r w:rsidR="004033D8">
        <w:rPr>
          <w:rFonts w:cs="David" w:hint="cs"/>
          <w:sz w:val="20"/>
          <w:szCs w:val="20"/>
          <w:rtl/>
        </w:rPr>
        <w:t>2169124</w:t>
      </w:r>
      <w:bookmarkEnd w:id="0"/>
    </w:p>
    <w:p w14:paraId="7F6961A2" w14:textId="53D639AE" w:rsidR="00E13C27" w:rsidRPr="00DB7060" w:rsidRDefault="00E13C27" w:rsidP="00A443CF">
      <w:pPr>
        <w:pStyle w:val="HeadHatzaotHok"/>
        <w:rPr>
          <w:sz w:val="28"/>
          <w:szCs w:val="28"/>
          <w:rtl/>
        </w:rPr>
      </w:pPr>
      <w:r w:rsidRPr="00DB7060">
        <w:rPr>
          <w:rFonts w:hint="cs"/>
          <w:sz w:val="28"/>
          <w:szCs w:val="28"/>
          <w:rtl/>
        </w:rPr>
        <w:t xml:space="preserve">הכנסת </w:t>
      </w:r>
      <w:bookmarkStart w:id="1" w:name="LGS_Knesset_Num"/>
      <w:r>
        <w:rPr>
          <w:rFonts w:hint="cs"/>
          <w:sz w:val="28"/>
          <w:szCs w:val="28"/>
          <w:rtl/>
        </w:rPr>
        <w:t>העשרים וארבע</w:t>
      </w:r>
      <w:bookmarkEnd w:id="1"/>
    </w:p>
    <w:p w14:paraId="7F6961A3" w14:textId="77777777" w:rsidR="00E13C27" w:rsidRPr="00F67051" w:rsidRDefault="00E13C27" w:rsidP="00E13C27">
      <w:pPr>
        <w:rPr>
          <w:rFonts w:cs="David"/>
          <w:b/>
          <w:bCs/>
          <w:sz w:val="26"/>
          <w:szCs w:val="26"/>
          <w:rtl/>
        </w:rPr>
      </w:pPr>
    </w:p>
    <w:p w14:paraId="7F6961A6" w14:textId="77777777" w:rsidR="00E13C27" w:rsidRDefault="008F6665" w:rsidP="00930EFE">
      <w:pPr>
        <w:pStyle w:val="David"/>
        <w:spacing w:line="360" w:lineRule="auto"/>
        <w:ind w:left="3544"/>
        <w:rPr>
          <w:b/>
          <w:bCs/>
          <w:rtl/>
        </w:rPr>
      </w:pPr>
      <w:bookmarkStart w:id="2" w:name="LGS_Initiators_List"/>
      <w:r>
        <w:rPr>
          <w:b/>
          <w:bCs/>
          <w:rtl/>
        </w:rPr>
        <w:t>יוזם:</w:t>
      </w:r>
      <w:r>
        <w:tab/>
      </w:r>
      <w:r>
        <w:rPr>
          <w:b/>
          <w:bCs/>
          <w:rtl/>
        </w:rPr>
        <w:t xml:space="preserve">      חבר הכנסת</w:t>
      </w:r>
      <w:bookmarkEnd w:id="2"/>
      <w:r w:rsidR="00B35784" w:rsidRPr="00F67051">
        <w:rPr>
          <w:b/>
          <w:bCs/>
        </w:rPr>
        <w:tab/>
      </w:r>
      <w:bookmarkStart w:id="3" w:name="LGS_PM_Names"/>
      <w:r>
        <w:rPr>
          <w:rFonts w:hint="cs"/>
          <w:b/>
          <w:bCs/>
          <w:rtl/>
        </w:rPr>
        <w:t>אלכס קושניר</w:t>
      </w:r>
      <w:bookmarkEnd w:id="3"/>
    </w:p>
    <w:p w14:paraId="7F6961AA" w14:textId="39F9D96B" w:rsidR="00E13C27" w:rsidRPr="00CF1AA2" w:rsidRDefault="007D585A" w:rsidP="0036422C">
      <w:pPr>
        <w:pStyle w:val="David"/>
        <w:spacing w:before="0" w:line="360" w:lineRule="auto"/>
        <w:ind w:left="3544"/>
        <w:rPr>
          <w:b/>
          <w:bCs/>
          <w:sz w:val="16"/>
          <w:szCs w:val="16"/>
          <w:rtl/>
        </w:rPr>
      </w:pPr>
      <w:bookmarkStart w:id="4" w:name="LGS_Join_List"/>
      <w:r>
        <w:rPr>
          <w:rtl/>
        </w:rPr>
        <w:t>______________________________________________</w:t>
      </w:r>
      <w:r>
        <w:br/>
      </w:r>
      <w:r>
        <w:rPr>
          <w:rtl/>
        </w:rPr>
        <w:t>מצטרפים: חברי הכנסת</w:t>
      </w:r>
      <w:bookmarkEnd w:id="4"/>
      <w:r w:rsidR="002200A1" w:rsidRPr="00CF1AA2">
        <w:rPr>
          <w:rFonts w:hint="cs"/>
          <w:rtl/>
        </w:rPr>
        <w:tab/>
      </w:r>
      <w:bookmarkStart w:id="5" w:name="LGS_PM_NamesJoin"/>
      <w:r>
        <w:rPr>
          <w:rFonts w:hint="cs"/>
          <w:rtl/>
        </w:rPr>
        <w:t>יבגני סובה</w:t>
      </w:r>
      <w:r>
        <w:br/>
      </w:r>
      <w:r>
        <w:rPr>
          <w:rFonts w:hint="cs"/>
          <w:rtl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cs"/>
          <w:rtl/>
        </w:rPr>
        <w:t>יוסף שיין</w:t>
      </w:r>
      <w:r>
        <w:br/>
      </w:r>
      <w:r>
        <w:rPr>
          <w:rFonts w:hint="cs"/>
          <w:rtl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cs"/>
          <w:rtl/>
        </w:rPr>
        <w:t>לימור מגן תלם</w:t>
      </w:r>
      <w:bookmarkEnd w:id="5"/>
    </w:p>
    <w:p w14:paraId="34DB4103" w14:textId="77777777" w:rsidR="00904591" w:rsidRPr="00904591" w:rsidRDefault="00266D86" w:rsidP="0036422C">
      <w:pPr>
        <w:pStyle w:val="David"/>
        <w:spacing w:before="0" w:line="360" w:lineRule="auto"/>
        <w:ind w:left="3544"/>
        <w:rPr>
          <w:sz w:val="4"/>
          <w:szCs w:val="4"/>
          <w:rtl/>
        </w:rPr>
      </w:pPr>
      <w:r>
        <w:t>____</w:t>
      </w:r>
      <w:r w:rsidR="00E374F2">
        <w:t>__</w:t>
      </w:r>
      <w:r>
        <w:t>________________________________________</w:t>
      </w:r>
      <w:r w:rsidR="00E06736" w:rsidRPr="00E06736">
        <w:tab/>
      </w:r>
      <w:r w:rsidR="00E13C27" w:rsidRPr="00E06736">
        <w:rPr>
          <w:rFonts w:hint="cs"/>
          <w:rtl/>
        </w:rPr>
        <w:tab/>
      </w:r>
      <w:r w:rsidR="00E13C27" w:rsidRPr="00E06736">
        <w:rPr>
          <w:rFonts w:hint="cs"/>
          <w:rtl/>
        </w:rPr>
        <w:tab/>
      </w:r>
      <w:r w:rsidR="00E13C27" w:rsidRPr="00E06736">
        <w:rPr>
          <w:rFonts w:hint="cs"/>
          <w:rtl/>
        </w:rPr>
        <w:tab/>
      </w:r>
      <w:r w:rsidR="00904591">
        <w:t xml:space="preserve">           </w:t>
      </w:r>
    </w:p>
    <w:p w14:paraId="7F6961AC" w14:textId="25CA3069" w:rsidR="00E13C27" w:rsidRDefault="00904591" w:rsidP="00DE00E7">
      <w:pPr>
        <w:pStyle w:val="David"/>
        <w:spacing w:before="0" w:line="240" w:lineRule="auto"/>
        <w:ind w:left="3544"/>
        <w:rPr>
          <w:rtl/>
        </w:rPr>
      </w:pPr>
      <w:r>
        <w:t xml:space="preserve">                                            </w:t>
      </w:r>
      <w:r w:rsidR="008F1308">
        <w:t xml:space="preserve"> </w:t>
      </w:r>
      <w:bookmarkStart w:id="6" w:name="Private_Number"/>
      <w:r>
        <w:rPr>
          <w:rFonts w:hint="cs"/>
          <w:rtl/>
        </w:rPr>
        <w:t>פ/3132/24</w:t>
      </w:r>
      <w:bookmarkEnd w:id="6"/>
    </w:p>
    <w:p w14:paraId="47C1B83A" w14:textId="44B9C513" w:rsidR="00CF795D" w:rsidRPr="00F67051" w:rsidRDefault="0087310E" w:rsidP="00DE00E7">
      <w:pPr>
        <w:pStyle w:val="HeadHatzaotHok"/>
        <w:rPr>
          <w:rtl/>
        </w:rPr>
      </w:pPr>
      <w:bookmarkStart w:id="7" w:name="LGS_Subject"/>
      <w:r>
        <w:rPr>
          <w:rFonts w:hint="cs"/>
          <w:rtl/>
        </w:rPr>
        <w:t xml:space="preserve">הצעת חוק המכר (דירות) (תיקון – הצמדת מחיר הדירה למדד), </w:t>
      </w:r>
      <w:proofErr w:type="spellStart"/>
      <w:r>
        <w:rPr>
          <w:rFonts w:hint="cs"/>
          <w:rtl/>
        </w:rPr>
        <w:t>התשפ"ב</w:t>
      </w:r>
      <w:proofErr w:type="spellEnd"/>
      <w:r>
        <w:rPr>
          <w:rFonts w:hint="cs"/>
          <w:rtl/>
        </w:rPr>
        <w:t>–2022</w:t>
      </w:r>
      <w:bookmarkEnd w:id="7"/>
    </w:p>
    <w:tbl>
      <w:tblPr>
        <w:bidiVisual/>
        <w:tblW w:w="9638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871"/>
        <w:gridCol w:w="624"/>
        <w:gridCol w:w="624"/>
        <w:gridCol w:w="624"/>
        <w:gridCol w:w="624"/>
        <w:gridCol w:w="624"/>
        <w:gridCol w:w="624"/>
        <w:gridCol w:w="4023"/>
      </w:tblGrid>
      <w:tr w:rsidR="0087310E" w14:paraId="46DB8DA5" w14:textId="77777777" w:rsidTr="009A71E5">
        <w:trPr>
          <w:cantSplit/>
        </w:trPr>
        <w:tc>
          <w:tcPr>
            <w:tcW w:w="1871" w:type="dxa"/>
          </w:tcPr>
          <w:p w14:paraId="7BA6B01C" w14:textId="77777777" w:rsidR="0087310E" w:rsidRDefault="0087310E" w:rsidP="00730FC4">
            <w:pPr>
              <w:pStyle w:val="TableSideHeading"/>
              <w:keepLines w:val="0"/>
            </w:pPr>
            <w:r>
              <w:rPr>
                <w:rFonts w:hint="cs"/>
                <w:rtl/>
              </w:rPr>
              <w:t>הוספת סעיף 6ד</w:t>
            </w:r>
          </w:p>
        </w:tc>
        <w:tc>
          <w:tcPr>
            <w:tcW w:w="624" w:type="dxa"/>
          </w:tcPr>
          <w:p w14:paraId="44BF17BC" w14:textId="77777777" w:rsidR="0087310E" w:rsidRDefault="0087310E" w:rsidP="00730FC4">
            <w:pPr>
              <w:pStyle w:val="TableText"/>
              <w:keepLines w:val="0"/>
            </w:pPr>
            <w:r>
              <w:rPr>
                <w:rFonts w:hint="cs"/>
                <w:rtl/>
              </w:rPr>
              <w:t>1.</w:t>
            </w:r>
          </w:p>
        </w:tc>
        <w:tc>
          <w:tcPr>
            <w:tcW w:w="7143" w:type="dxa"/>
            <w:gridSpan w:val="6"/>
          </w:tcPr>
          <w:p w14:paraId="71FE60FC" w14:textId="77777777" w:rsidR="0087310E" w:rsidRPr="00D20E69" w:rsidRDefault="0087310E" w:rsidP="009A71E5">
            <w:pPr>
              <w:pStyle w:val="TableBlock"/>
            </w:pPr>
            <w:r w:rsidRPr="00D20E69">
              <w:rPr>
                <w:rFonts w:hint="cs"/>
                <w:rtl/>
              </w:rPr>
              <w:t xml:space="preserve">בחוק המכר (דירות), </w:t>
            </w:r>
            <w:proofErr w:type="spellStart"/>
            <w:r w:rsidRPr="00D20E69">
              <w:rPr>
                <w:rFonts w:hint="cs"/>
                <w:rtl/>
              </w:rPr>
              <w:t>התשל"ג</w:t>
            </w:r>
            <w:proofErr w:type="spellEnd"/>
            <w:r w:rsidRPr="00D20E69">
              <w:rPr>
                <w:rFonts w:hint="cs"/>
                <w:rtl/>
              </w:rPr>
              <w:t>–1973</w:t>
            </w:r>
            <w:r>
              <w:rPr>
                <w:rStyle w:val="a6"/>
                <w:rtl/>
              </w:rPr>
              <w:footnoteReference w:id="2"/>
            </w:r>
            <w:r w:rsidRPr="00D20E69">
              <w:rPr>
                <w:rFonts w:hint="cs"/>
                <w:rtl/>
              </w:rPr>
              <w:t>, אחרי סעיף 6ג יבוא:</w:t>
            </w:r>
          </w:p>
        </w:tc>
      </w:tr>
      <w:tr w:rsidR="0087310E" w14:paraId="3F0A8299" w14:textId="77777777" w:rsidTr="009A71E5">
        <w:trPr>
          <w:cantSplit/>
        </w:trPr>
        <w:tc>
          <w:tcPr>
            <w:tcW w:w="1871" w:type="dxa"/>
          </w:tcPr>
          <w:p w14:paraId="6FD5D492" w14:textId="77777777" w:rsidR="0087310E" w:rsidRDefault="0087310E" w:rsidP="00730FC4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7948D8E0" w14:textId="77777777" w:rsidR="0087310E" w:rsidRDefault="0087310E" w:rsidP="00730FC4">
            <w:pPr>
              <w:pStyle w:val="TableText"/>
              <w:keepLines w:val="0"/>
            </w:pPr>
          </w:p>
        </w:tc>
        <w:tc>
          <w:tcPr>
            <w:tcW w:w="1872" w:type="dxa"/>
            <w:gridSpan w:val="3"/>
          </w:tcPr>
          <w:p w14:paraId="7AB502AE" w14:textId="77777777" w:rsidR="0087310E" w:rsidRDefault="0087310E" w:rsidP="00730FC4">
            <w:pPr>
              <w:pStyle w:val="TableInnerSideHeading"/>
            </w:pPr>
            <w:r>
              <w:rPr>
                <w:rFonts w:hint="cs"/>
                <w:rtl/>
              </w:rPr>
              <w:t>"הצמדת מחיר הדירה למדד</w:t>
            </w:r>
          </w:p>
        </w:tc>
        <w:tc>
          <w:tcPr>
            <w:tcW w:w="624" w:type="dxa"/>
          </w:tcPr>
          <w:p w14:paraId="0D34D06A" w14:textId="77777777" w:rsidR="0087310E" w:rsidRDefault="0087310E" w:rsidP="00730FC4">
            <w:pPr>
              <w:pStyle w:val="TableText"/>
            </w:pPr>
            <w:r>
              <w:rPr>
                <w:rFonts w:hint="cs"/>
                <w:rtl/>
              </w:rPr>
              <w:t>6ד.</w:t>
            </w:r>
          </w:p>
        </w:tc>
        <w:tc>
          <w:tcPr>
            <w:tcW w:w="4647" w:type="dxa"/>
            <w:gridSpan w:val="2"/>
          </w:tcPr>
          <w:p w14:paraId="3E2C2815" w14:textId="77777777" w:rsidR="0087310E" w:rsidRDefault="0087310E" w:rsidP="009A71E5">
            <w:pPr>
              <w:pStyle w:val="TableBlock"/>
            </w:pPr>
            <w:r w:rsidRPr="00416651">
              <w:rPr>
                <w:rFonts w:hint="cs"/>
                <w:rtl/>
              </w:rPr>
              <w:t>(א</w:t>
            </w:r>
            <w:r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ab/>
              <w:t xml:space="preserve">לא יתנה מוכר את חתימת חוזה המכר למכירת דירה בהצמדת התשלומים בעד הדירה, כולם או חלקם, למדד; ואולם, </w:t>
            </w:r>
            <w:r w:rsidRPr="00DE66DE">
              <w:rPr>
                <w:rtl/>
              </w:rPr>
              <w:t>מוכר רשאי</w:t>
            </w:r>
            <w:r>
              <w:rPr>
                <w:rFonts w:hint="cs"/>
                <w:rtl/>
              </w:rPr>
              <w:t xml:space="preserve"> </w:t>
            </w:r>
            <w:r w:rsidRPr="00DE66DE">
              <w:rPr>
                <w:rtl/>
              </w:rPr>
              <w:t>להצמיד למדד</w:t>
            </w:r>
            <w:r>
              <w:rPr>
                <w:rFonts w:hint="cs"/>
                <w:rtl/>
              </w:rPr>
              <w:t xml:space="preserve"> תשלומים כאמור בעד הדירה, ובלבד שהסכום שיוצמד </w:t>
            </w:r>
            <w:r w:rsidRPr="00DE66DE">
              <w:rPr>
                <w:rtl/>
              </w:rPr>
              <w:t xml:space="preserve">לא יעלה על מכפלת </w:t>
            </w:r>
            <w:r>
              <w:rPr>
                <w:rFonts w:hint="cs"/>
                <w:rtl/>
              </w:rPr>
              <w:t xml:space="preserve">שטח הדירה במטרים רבועים </w:t>
            </w:r>
            <w:r w:rsidRPr="00DE66DE">
              <w:rPr>
                <w:rtl/>
              </w:rPr>
              <w:t xml:space="preserve">הנקוב בחוזה </w:t>
            </w:r>
            <w:r>
              <w:rPr>
                <w:rFonts w:hint="cs"/>
                <w:rtl/>
              </w:rPr>
              <w:t>המכר ב-5,500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(בסעיף זה -</w:t>
            </w:r>
            <w:r w:rsidRPr="00DE66DE">
              <w:rPr>
                <w:rtl/>
              </w:rPr>
              <w:t xml:space="preserve"> עלות הבניה</w:t>
            </w:r>
            <w:r>
              <w:rPr>
                <w:rFonts w:hint="cs"/>
                <w:rtl/>
              </w:rPr>
              <w:t xml:space="preserve">); בסעיף קטן זה, "מדד"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מדד תשומות הבנייה או מדד המחירים לצרכן שפורסם על ידי הלשכה המרכזית לסטטיסטיקה.</w:t>
            </w:r>
          </w:p>
        </w:tc>
      </w:tr>
      <w:tr w:rsidR="0087310E" w14:paraId="6718DE08" w14:textId="77777777" w:rsidTr="009A71E5">
        <w:trPr>
          <w:cantSplit/>
        </w:trPr>
        <w:tc>
          <w:tcPr>
            <w:tcW w:w="1871" w:type="dxa"/>
          </w:tcPr>
          <w:p w14:paraId="114100AD" w14:textId="77777777" w:rsidR="0087310E" w:rsidRDefault="0087310E" w:rsidP="00730FC4">
            <w:pPr>
              <w:pStyle w:val="TableSideHeading"/>
            </w:pPr>
          </w:p>
        </w:tc>
        <w:tc>
          <w:tcPr>
            <w:tcW w:w="624" w:type="dxa"/>
          </w:tcPr>
          <w:p w14:paraId="05C39F34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3CBF43C4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109780AF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1F30822F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22FEF8ED" w14:textId="77777777" w:rsidR="0087310E" w:rsidRDefault="0087310E" w:rsidP="00730FC4">
            <w:pPr>
              <w:pStyle w:val="TableText"/>
            </w:pPr>
          </w:p>
        </w:tc>
        <w:tc>
          <w:tcPr>
            <w:tcW w:w="4647" w:type="dxa"/>
            <w:gridSpan w:val="2"/>
          </w:tcPr>
          <w:p w14:paraId="2AA06A40" w14:textId="77777777" w:rsidR="0087310E" w:rsidRDefault="0087310E" w:rsidP="009A71E5">
            <w:pPr>
              <w:pStyle w:val="TableBlock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(ב)</w:t>
            </w:r>
            <w:r>
              <w:rPr>
                <w:rtl/>
              </w:rPr>
              <w:tab/>
            </w:r>
            <w:r w:rsidRPr="00AA5893">
              <w:rPr>
                <w:rFonts w:hint="eastAsia"/>
                <w:rtl/>
              </w:rPr>
              <w:t>לעניין</w:t>
            </w:r>
            <w:r w:rsidRPr="00AA5893">
              <w:rPr>
                <w:rtl/>
              </w:rPr>
              <w:t xml:space="preserve"> הצמדה כאמור </w:t>
            </w:r>
            <w:r w:rsidRPr="00AA5893">
              <w:rPr>
                <w:rFonts w:hint="eastAsia"/>
                <w:rtl/>
              </w:rPr>
              <w:t>ב</w:t>
            </w:r>
            <w:r w:rsidRPr="009F1FCC">
              <w:rPr>
                <w:rFonts w:hint="eastAsia"/>
                <w:rtl/>
              </w:rPr>
              <w:t>סעיף</w:t>
            </w:r>
            <w:r w:rsidRPr="009F1FCC">
              <w:rPr>
                <w:rtl/>
              </w:rPr>
              <w:t xml:space="preserve"> </w:t>
            </w:r>
            <w:r w:rsidRPr="00BB6499">
              <w:rPr>
                <w:rFonts w:hint="eastAsia"/>
                <w:rtl/>
              </w:rPr>
              <w:t>קטן</w:t>
            </w:r>
            <w:r w:rsidRPr="00BB6499">
              <w:rPr>
                <w:rtl/>
              </w:rPr>
              <w:t xml:space="preserve"> (א),</w:t>
            </w:r>
            <w:r w:rsidRPr="00AA5893">
              <w:rPr>
                <w:rFonts w:hint="cs"/>
                <w:rtl/>
              </w:rPr>
              <w:t xml:space="preserve"> </w:t>
            </w:r>
            <w:r w:rsidRPr="00AA5893">
              <w:rPr>
                <w:rtl/>
              </w:rPr>
              <w:t xml:space="preserve">כל תשלום </w:t>
            </w:r>
            <w:r w:rsidRPr="00AA5893">
              <w:rPr>
                <w:rFonts w:hint="eastAsia"/>
                <w:rtl/>
              </w:rPr>
              <w:t>ששילם</w:t>
            </w:r>
            <w:r w:rsidRPr="00AA5893">
              <w:rPr>
                <w:rtl/>
              </w:rPr>
              <w:t xml:space="preserve"> הקונה</w:t>
            </w:r>
            <w:r w:rsidRPr="00346FBC">
              <w:rPr>
                <w:rtl/>
              </w:rPr>
              <w:t xml:space="preserve"> למוכר </w:t>
            </w:r>
            <w:r>
              <w:rPr>
                <w:rFonts w:hint="cs"/>
                <w:rtl/>
              </w:rPr>
              <w:t xml:space="preserve">עבור </w:t>
            </w:r>
            <w:r w:rsidRPr="00346FBC">
              <w:rPr>
                <w:rtl/>
              </w:rPr>
              <w:t>דירה</w:t>
            </w:r>
            <w:r>
              <w:rPr>
                <w:rFonts w:hint="cs"/>
                <w:rtl/>
              </w:rPr>
              <w:t>,</w:t>
            </w:r>
            <w:r w:rsidRPr="00346FBC">
              <w:rPr>
                <w:rtl/>
              </w:rPr>
              <w:t xml:space="preserve"> יתחלק </w:t>
            </w:r>
            <w:r>
              <w:rPr>
                <w:rFonts w:hint="cs"/>
                <w:rtl/>
              </w:rPr>
              <w:t xml:space="preserve">באופן יחסי </w:t>
            </w:r>
            <w:r w:rsidRPr="00346FBC">
              <w:rPr>
                <w:rtl/>
              </w:rPr>
              <w:t>בין עלות הבניה ל</w:t>
            </w:r>
            <w:r>
              <w:rPr>
                <w:rFonts w:hint="cs"/>
                <w:rtl/>
              </w:rPr>
              <w:t xml:space="preserve">בין </w:t>
            </w:r>
            <w:r w:rsidRPr="00346FBC">
              <w:rPr>
                <w:rtl/>
              </w:rPr>
              <w:t>עלות הדירה הכוללת</w:t>
            </w:r>
            <w:r>
              <w:rPr>
                <w:rFonts w:hint="cs"/>
                <w:rtl/>
              </w:rPr>
              <w:t xml:space="preserve"> כפי שהוסכמה בחוזה המכר. </w:t>
            </w:r>
          </w:p>
        </w:tc>
      </w:tr>
      <w:tr w:rsidR="0087310E" w14:paraId="667EA811" w14:textId="77777777" w:rsidTr="009A71E5">
        <w:trPr>
          <w:cantSplit/>
        </w:trPr>
        <w:tc>
          <w:tcPr>
            <w:tcW w:w="1871" w:type="dxa"/>
          </w:tcPr>
          <w:p w14:paraId="400ACF5E" w14:textId="77777777" w:rsidR="0087310E" w:rsidRDefault="0087310E" w:rsidP="00730FC4">
            <w:pPr>
              <w:pStyle w:val="TableSideHeading"/>
              <w:rPr>
                <w:rtl/>
              </w:rPr>
            </w:pPr>
          </w:p>
        </w:tc>
        <w:tc>
          <w:tcPr>
            <w:tcW w:w="624" w:type="dxa"/>
          </w:tcPr>
          <w:p w14:paraId="79C229A7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28C4EA13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25549EDD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3A5F5476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7637F3FA" w14:textId="77777777" w:rsidR="0087310E" w:rsidRDefault="0087310E" w:rsidP="00730FC4">
            <w:pPr>
              <w:pStyle w:val="TableText"/>
            </w:pPr>
          </w:p>
        </w:tc>
        <w:tc>
          <w:tcPr>
            <w:tcW w:w="4647" w:type="dxa"/>
            <w:gridSpan w:val="2"/>
          </w:tcPr>
          <w:p w14:paraId="5B97B81A" w14:textId="77777777" w:rsidR="0087310E" w:rsidRDefault="0087310E" w:rsidP="009A71E5">
            <w:pPr>
              <w:pStyle w:val="TableBlock"/>
              <w:rPr>
                <w:rtl/>
              </w:rPr>
            </w:pPr>
            <w:r>
              <w:rPr>
                <w:rFonts w:hint="cs"/>
                <w:rtl/>
              </w:rPr>
              <w:t>(ג)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על אף האמור בסעיף (א), מוכר לא יצמיד את יתרת התשלום עבור דירה כאמור באותו סעיף קטן, אם התקיים אחד מאלה:</w:t>
            </w:r>
          </w:p>
        </w:tc>
      </w:tr>
      <w:tr w:rsidR="0087310E" w14:paraId="70D68E7E" w14:textId="77777777" w:rsidTr="009A71E5">
        <w:trPr>
          <w:cantSplit/>
        </w:trPr>
        <w:tc>
          <w:tcPr>
            <w:tcW w:w="1871" w:type="dxa"/>
          </w:tcPr>
          <w:p w14:paraId="24028039" w14:textId="77777777" w:rsidR="0087310E" w:rsidRDefault="0087310E" w:rsidP="00730FC4">
            <w:pPr>
              <w:pStyle w:val="TableSideHeading"/>
            </w:pPr>
          </w:p>
        </w:tc>
        <w:tc>
          <w:tcPr>
            <w:tcW w:w="624" w:type="dxa"/>
          </w:tcPr>
          <w:p w14:paraId="0EFDE1B4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3CC86572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6EE8A2F3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6DC02AA0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00304120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563F2BFC" w14:textId="77777777" w:rsidR="0087310E" w:rsidRDefault="0087310E" w:rsidP="00730FC4">
            <w:pPr>
              <w:pStyle w:val="TableText"/>
            </w:pPr>
          </w:p>
        </w:tc>
        <w:tc>
          <w:tcPr>
            <w:tcW w:w="4023" w:type="dxa"/>
          </w:tcPr>
          <w:p w14:paraId="508747B3" w14:textId="77777777" w:rsidR="0087310E" w:rsidRDefault="0087310E" w:rsidP="009A71E5">
            <w:pPr>
              <w:pStyle w:val="TableBlock"/>
            </w:pPr>
            <w:r w:rsidRPr="002643BF">
              <w:rPr>
                <w:rFonts w:hint="cs"/>
                <w:rtl/>
              </w:rPr>
              <w:t>(1</w:t>
            </w:r>
            <w:r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ab/>
              <w:t xml:space="preserve">הדירה בשלב בנייה שבו היא ראויה למגורים, בהתאם להוראות שיקבע השר בתקנות; </w:t>
            </w:r>
          </w:p>
        </w:tc>
      </w:tr>
      <w:tr w:rsidR="0087310E" w14:paraId="64DF1C19" w14:textId="77777777" w:rsidTr="009A71E5">
        <w:trPr>
          <w:cantSplit/>
        </w:trPr>
        <w:tc>
          <w:tcPr>
            <w:tcW w:w="1871" w:type="dxa"/>
          </w:tcPr>
          <w:p w14:paraId="72256A43" w14:textId="77777777" w:rsidR="0087310E" w:rsidRDefault="0087310E" w:rsidP="00730FC4">
            <w:pPr>
              <w:pStyle w:val="TableSideHeading"/>
              <w:rPr>
                <w:rtl/>
              </w:rPr>
            </w:pPr>
          </w:p>
        </w:tc>
        <w:tc>
          <w:tcPr>
            <w:tcW w:w="624" w:type="dxa"/>
          </w:tcPr>
          <w:p w14:paraId="206A7B29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3003A03F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16276E40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01BD4D2B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56461BC6" w14:textId="77777777" w:rsidR="0087310E" w:rsidRDefault="0087310E" w:rsidP="00730FC4">
            <w:pPr>
              <w:pStyle w:val="TableText"/>
            </w:pPr>
          </w:p>
        </w:tc>
        <w:tc>
          <w:tcPr>
            <w:tcW w:w="624" w:type="dxa"/>
          </w:tcPr>
          <w:p w14:paraId="5AA45AC4" w14:textId="77777777" w:rsidR="0087310E" w:rsidRDefault="0087310E" w:rsidP="00730FC4">
            <w:pPr>
              <w:pStyle w:val="TableText"/>
            </w:pPr>
          </w:p>
        </w:tc>
        <w:tc>
          <w:tcPr>
            <w:tcW w:w="4023" w:type="dxa"/>
          </w:tcPr>
          <w:p w14:paraId="6E3AE7E5" w14:textId="77777777" w:rsidR="0087310E" w:rsidRPr="002643BF" w:rsidRDefault="0087310E" w:rsidP="009A71E5">
            <w:pPr>
              <w:pStyle w:val="TableBlock"/>
              <w:rPr>
                <w:rtl/>
              </w:rPr>
            </w:pPr>
            <w:r>
              <w:rPr>
                <w:rFonts w:hint="cs"/>
                <w:rtl/>
              </w:rPr>
              <w:t>(2)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חלף </w:t>
            </w:r>
            <w:r w:rsidRPr="00D05CEF">
              <w:rPr>
                <w:rtl/>
              </w:rPr>
              <w:t xml:space="preserve">המועד </w:t>
            </w:r>
            <w:r>
              <w:rPr>
                <w:rFonts w:hint="cs"/>
                <w:rtl/>
              </w:rPr>
              <w:t>למסירת הדירה לקונה</w:t>
            </w:r>
            <w:r w:rsidRPr="00D05CEF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כפי שנקבע </w:t>
            </w:r>
            <w:r w:rsidRPr="00D05CEF">
              <w:rPr>
                <w:rtl/>
              </w:rPr>
              <w:t>בחוזה המכר</w:t>
            </w:r>
            <w:r>
              <w:rPr>
                <w:rFonts w:hint="cs"/>
                <w:rtl/>
              </w:rPr>
              <w:t>."</w:t>
            </w:r>
          </w:p>
        </w:tc>
      </w:tr>
    </w:tbl>
    <w:p w14:paraId="5E45D81A" w14:textId="77777777" w:rsidR="0087310E" w:rsidRDefault="0087310E" w:rsidP="0087310E">
      <w:pPr>
        <w:pStyle w:val="HeadDivreiHesber"/>
        <w:spacing w:before="0" w:after="0"/>
        <w:rPr>
          <w:rtl/>
        </w:rPr>
      </w:pPr>
    </w:p>
    <w:p w14:paraId="2B7C4A2F" w14:textId="77777777" w:rsidR="0087310E" w:rsidRDefault="0087310E" w:rsidP="0087310E">
      <w:pPr>
        <w:pStyle w:val="HeadDivreiHesber"/>
        <w:rPr>
          <w:rtl/>
        </w:rPr>
      </w:pPr>
      <w:r w:rsidRPr="00205CBC">
        <w:rPr>
          <w:rFonts w:hint="cs"/>
          <w:rtl/>
        </w:rPr>
        <w:t>דברי</w:t>
      </w:r>
      <w:r w:rsidRPr="0027450A">
        <w:rPr>
          <w:rFonts w:hint="cs"/>
          <w:rtl/>
        </w:rPr>
        <w:t xml:space="preserve"> הסבר</w:t>
      </w:r>
    </w:p>
    <w:p w14:paraId="5A36A81E" w14:textId="77777777" w:rsidR="0087310E" w:rsidRPr="004A35AA" w:rsidRDefault="0087310E" w:rsidP="00070C79">
      <w:pPr>
        <w:pStyle w:val="Hesber1st"/>
        <w:tabs>
          <w:tab w:val="clear" w:pos="680"/>
        </w:tabs>
        <w:spacing w:line="276" w:lineRule="auto"/>
        <w:rPr>
          <w:rtl/>
        </w:rPr>
      </w:pPr>
      <w:r w:rsidRPr="004A35AA">
        <w:rPr>
          <w:rFonts w:hint="cs"/>
          <w:rtl/>
        </w:rPr>
        <w:t>ה</w:t>
      </w:r>
      <w:r w:rsidRPr="004A35AA">
        <w:rPr>
          <w:rtl/>
        </w:rPr>
        <w:t xml:space="preserve">צמדת מחיר דירה למדד תשומות הבניה </w:t>
      </w:r>
      <w:r w:rsidRPr="004A35AA">
        <w:rPr>
          <w:rFonts w:hint="cs"/>
          <w:rtl/>
        </w:rPr>
        <w:t>מביא</w:t>
      </w:r>
      <w:r>
        <w:rPr>
          <w:rFonts w:hint="cs"/>
          <w:rtl/>
        </w:rPr>
        <w:t>ה</w:t>
      </w:r>
      <w:r w:rsidRPr="004A35AA">
        <w:rPr>
          <w:rFonts w:hint="cs"/>
          <w:rtl/>
        </w:rPr>
        <w:t xml:space="preserve"> בכל שנה לעלי</w:t>
      </w:r>
      <w:r>
        <w:rPr>
          <w:rFonts w:hint="cs"/>
          <w:rtl/>
        </w:rPr>
        <w:t>י</w:t>
      </w:r>
      <w:r w:rsidRPr="004A35AA">
        <w:rPr>
          <w:rFonts w:hint="cs"/>
          <w:rtl/>
        </w:rPr>
        <w:t xml:space="preserve">ה משמעותית במחיר הדירה </w:t>
      </w:r>
      <w:r w:rsidRPr="004A35AA">
        <w:rPr>
          <w:rtl/>
        </w:rPr>
        <w:t xml:space="preserve">מעת חתימת החוזה </w:t>
      </w:r>
      <w:r w:rsidRPr="004A35AA">
        <w:rPr>
          <w:rFonts w:hint="cs"/>
          <w:rtl/>
        </w:rPr>
        <w:t>ו</w:t>
      </w:r>
      <w:r w:rsidRPr="004A35AA">
        <w:rPr>
          <w:rtl/>
        </w:rPr>
        <w:t>עד לקבלת הדירה ותשלום מל</w:t>
      </w:r>
      <w:r>
        <w:rPr>
          <w:rFonts w:hint="cs"/>
          <w:rtl/>
        </w:rPr>
        <w:t>ו</w:t>
      </w:r>
      <w:r w:rsidRPr="004A35AA">
        <w:rPr>
          <w:rtl/>
        </w:rPr>
        <w:t>א מחירה בפועל</w:t>
      </w:r>
      <w:r w:rsidRPr="004A35AA">
        <w:rPr>
          <w:rFonts w:hint="cs"/>
          <w:rtl/>
        </w:rPr>
        <w:t>. ה</w:t>
      </w:r>
      <w:r>
        <w:rPr>
          <w:rFonts w:hint="cs"/>
          <w:rtl/>
        </w:rPr>
        <w:t>צמדה</w:t>
      </w:r>
      <w:r w:rsidRPr="004A35AA">
        <w:rPr>
          <w:rFonts w:hint="cs"/>
          <w:rtl/>
        </w:rPr>
        <w:t xml:space="preserve"> זו יכולה</w:t>
      </w:r>
      <w:r w:rsidRPr="004A35AA">
        <w:rPr>
          <w:rtl/>
        </w:rPr>
        <w:t xml:space="preserve"> להביא להתייקרות מחיר הדירה </w:t>
      </w:r>
      <w:proofErr w:type="spellStart"/>
      <w:r w:rsidRPr="004A35AA">
        <w:rPr>
          <w:rtl/>
        </w:rPr>
        <w:t>בלמעלה</w:t>
      </w:r>
      <w:proofErr w:type="spellEnd"/>
      <w:r w:rsidRPr="004A35AA">
        <w:rPr>
          <w:rtl/>
        </w:rPr>
        <w:t xml:space="preserve"> מחמישה</w:t>
      </w:r>
      <w:r>
        <w:rPr>
          <w:rFonts w:hint="cs"/>
          <w:rtl/>
        </w:rPr>
        <w:t>-</w:t>
      </w:r>
      <w:r w:rsidRPr="004A35AA">
        <w:rPr>
          <w:rtl/>
        </w:rPr>
        <w:t xml:space="preserve">עשר אחוז. </w:t>
      </w:r>
      <w:r w:rsidRPr="004A35AA">
        <w:rPr>
          <w:rFonts w:hint="cs"/>
          <w:rtl/>
        </w:rPr>
        <w:t>ב</w:t>
      </w:r>
      <w:r w:rsidRPr="004A35AA">
        <w:rPr>
          <w:rtl/>
        </w:rPr>
        <w:t xml:space="preserve">חודש </w:t>
      </w:r>
      <w:r w:rsidRPr="004A35AA">
        <w:rPr>
          <w:rFonts w:hint="cs"/>
          <w:rtl/>
        </w:rPr>
        <w:t xml:space="preserve">נובמבר 2021 </w:t>
      </w:r>
      <w:r w:rsidRPr="004A35AA">
        <w:rPr>
          <w:rtl/>
        </w:rPr>
        <w:t>עלה מדד תשומות הבניה בחצי אחוז</w:t>
      </w:r>
      <w:r w:rsidRPr="004A35AA">
        <w:rPr>
          <w:rFonts w:hint="cs"/>
          <w:rtl/>
        </w:rPr>
        <w:t>,</w:t>
      </w:r>
      <w:r w:rsidRPr="004A35AA">
        <w:rPr>
          <w:rtl/>
        </w:rPr>
        <w:t xml:space="preserve"> והשלים עליה של 5.3% רק בשנ</w:t>
      </w:r>
      <w:r w:rsidRPr="004A35AA">
        <w:rPr>
          <w:rFonts w:hint="cs"/>
          <w:rtl/>
        </w:rPr>
        <w:t>ת 2021.</w:t>
      </w:r>
    </w:p>
    <w:p w14:paraId="7DDC65D4" w14:textId="77777777" w:rsidR="0087310E" w:rsidRDefault="0087310E" w:rsidP="00070C79">
      <w:pPr>
        <w:pStyle w:val="Hesber"/>
        <w:spacing w:line="276" w:lineRule="auto"/>
        <w:rPr>
          <w:rtl/>
        </w:rPr>
      </w:pPr>
      <w:r w:rsidRPr="00106063">
        <w:rPr>
          <w:rtl/>
        </w:rPr>
        <w:t xml:space="preserve">מדד תשומות </w:t>
      </w:r>
      <w:r>
        <w:rPr>
          <w:rtl/>
        </w:rPr>
        <w:t>הבניה משפיע על הוצאות הקבלנים</w:t>
      </w:r>
      <w:r w:rsidRPr="00106063">
        <w:rPr>
          <w:rtl/>
        </w:rPr>
        <w:t xml:space="preserve"> ביחס לעלות הבניה בלבד ואין לו שום השפעה על רכיב הקרקע והרווח שמהווים את רוב מחיר הדירה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 xml:space="preserve">ממילא, </w:t>
      </w:r>
      <w:r w:rsidRPr="00106063">
        <w:rPr>
          <w:rtl/>
        </w:rPr>
        <w:t xml:space="preserve">אין שום הצדקה </w:t>
      </w:r>
      <w:r>
        <w:rPr>
          <w:rtl/>
        </w:rPr>
        <w:t xml:space="preserve">להצמיד את מחיר הדירה כולו למדד </w:t>
      </w:r>
      <w:r w:rsidRPr="00106063">
        <w:rPr>
          <w:rtl/>
        </w:rPr>
        <w:t>תשומות</w:t>
      </w:r>
      <w:r>
        <w:rPr>
          <w:rFonts w:hint="cs"/>
          <w:rtl/>
        </w:rPr>
        <w:t xml:space="preserve"> הבניה.</w:t>
      </w:r>
    </w:p>
    <w:p w14:paraId="0B3B7B8B" w14:textId="77777777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>בנוסף, לא פעם נוצר מצב בו הושלמה הבניה ולא נעשה עוד שימוש לא בחומר ולא בעובדים, או לחילופין כשהמוכר מאחר במועד המסירה, ועדיין קיימת הצמדה של יתרת התשלום.</w:t>
      </w:r>
    </w:p>
    <w:p w14:paraId="03FF2AFD" w14:textId="77777777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>לפיכך, מוצע לאפשר למוכר לדרוש מקונה את הצמדת מחיר הדירה בחתימת החוזה למדד תשומות הבניה או למדד המחירים לצרכן. ה</w:t>
      </w:r>
      <w:r w:rsidRPr="00416651">
        <w:rPr>
          <w:rtl/>
        </w:rPr>
        <w:t>מוכר</w:t>
      </w:r>
      <w:r>
        <w:rPr>
          <w:rFonts w:hint="cs"/>
          <w:rtl/>
        </w:rPr>
        <w:t xml:space="preserve"> יהיה</w:t>
      </w:r>
      <w:r w:rsidRPr="00416651">
        <w:rPr>
          <w:rtl/>
        </w:rPr>
        <w:t xml:space="preserve"> רשאי להצמיד את התשלום </w:t>
      </w:r>
      <w:r>
        <w:rPr>
          <w:rFonts w:hint="cs"/>
          <w:rtl/>
        </w:rPr>
        <w:t>עבור</w:t>
      </w:r>
      <w:r w:rsidRPr="00416651">
        <w:rPr>
          <w:rtl/>
        </w:rPr>
        <w:t xml:space="preserve"> דירה למדד</w:t>
      </w:r>
      <w:r>
        <w:rPr>
          <w:rFonts w:hint="cs"/>
          <w:rtl/>
        </w:rPr>
        <w:t xml:space="preserve"> ובלבד ש</w:t>
      </w:r>
      <w:r w:rsidRPr="00DE66DE">
        <w:rPr>
          <w:rtl/>
        </w:rPr>
        <w:t>סכום ש</w:t>
      </w:r>
      <w:r>
        <w:rPr>
          <w:rFonts w:hint="cs"/>
          <w:rtl/>
        </w:rPr>
        <w:t xml:space="preserve">יוצמד </w:t>
      </w:r>
      <w:r w:rsidRPr="00DE66DE">
        <w:rPr>
          <w:rtl/>
        </w:rPr>
        <w:t xml:space="preserve">לא יעלה על מכפלת </w:t>
      </w:r>
      <w:r>
        <w:rPr>
          <w:rFonts w:hint="cs"/>
          <w:rtl/>
        </w:rPr>
        <w:t>שטח הדירה</w:t>
      </w:r>
      <w:r w:rsidRPr="00DE66DE">
        <w:rPr>
          <w:rtl/>
        </w:rPr>
        <w:t xml:space="preserve"> הנקוב בחוזה </w:t>
      </w:r>
      <w:r>
        <w:rPr>
          <w:rFonts w:hint="cs"/>
          <w:rtl/>
        </w:rPr>
        <w:t xml:space="preserve">המכר </w:t>
      </w:r>
      <w:r>
        <w:rPr>
          <w:rtl/>
        </w:rPr>
        <w:t>ב</w:t>
      </w:r>
      <w:r>
        <w:rPr>
          <w:rFonts w:hint="cs"/>
          <w:rtl/>
        </w:rPr>
        <w:t>-</w:t>
      </w:r>
      <w:r>
        <w:rPr>
          <w:rtl/>
        </w:rPr>
        <w:t>5,500</w:t>
      </w:r>
      <w:r>
        <w:rPr>
          <w:rFonts w:hint="cs"/>
          <w:rtl/>
        </w:rPr>
        <w:t xml:space="preserve">. בדרך זו, כאשר שטח הדירה הקבוע בחוזה המכר יוכפל בעלות ממוצעת לבניה למטר רבוע מקובל (5,500 ₪ למ"ר) תתאפשר הצמדת המדד לעלות הבניה שהיא החלק היחסי בו חל שינוי, קרי עלויות החומר והעובדים ולא על מחיר הקרקע ונתח הרווח של היזם בהם לא חלה עליה. </w:t>
      </w:r>
    </w:p>
    <w:p w14:paraId="6F20D4D2" w14:textId="77777777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 xml:space="preserve">בנוסף, כדי למנוע מציאות שבה התשלומים ששילם הקונה יחושבו על ידי המוכר בעבור מחיר הקרקע בלבד ולא בעבור מחיר החומרים או העבודה, מוצע כי </w:t>
      </w:r>
      <w:r>
        <w:rPr>
          <w:rtl/>
        </w:rPr>
        <w:t xml:space="preserve">כל תשלום </w:t>
      </w:r>
      <w:r>
        <w:rPr>
          <w:rFonts w:hint="cs"/>
          <w:rtl/>
        </w:rPr>
        <w:t>ששילם</w:t>
      </w:r>
      <w:r w:rsidRPr="00346FBC">
        <w:rPr>
          <w:rtl/>
        </w:rPr>
        <w:t xml:space="preserve"> הקונה למוכר </w:t>
      </w:r>
      <w:r>
        <w:rPr>
          <w:rFonts w:hint="cs"/>
          <w:rtl/>
        </w:rPr>
        <w:t>עבור</w:t>
      </w:r>
      <w:r w:rsidRPr="00346FBC">
        <w:rPr>
          <w:rtl/>
        </w:rPr>
        <w:t xml:space="preserve"> הדירה</w:t>
      </w:r>
      <w:r>
        <w:rPr>
          <w:rFonts w:hint="cs"/>
          <w:rtl/>
        </w:rPr>
        <w:t>,</w:t>
      </w:r>
      <w:r w:rsidRPr="00346FBC">
        <w:rPr>
          <w:rtl/>
        </w:rPr>
        <w:t xml:space="preserve"> יתחלק </w:t>
      </w:r>
      <w:r>
        <w:rPr>
          <w:rFonts w:hint="cs"/>
          <w:rtl/>
        </w:rPr>
        <w:t xml:space="preserve">באופן יחסי </w:t>
      </w:r>
      <w:r w:rsidRPr="00346FBC">
        <w:rPr>
          <w:rtl/>
        </w:rPr>
        <w:t>בין עלות הבניה ל</w:t>
      </w:r>
      <w:r>
        <w:rPr>
          <w:rFonts w:hint="cs"/>
          <w:rtl/>
        </w:rPr>
        <w:t xml:space="preserve">בין </w:t>
      </w:r>
      <w:r w:rsidRPr="00346FBC">
        <w:rPr>
          <w:rtl/>
        </w:rPr>
        <w:t>עלות הדירה הכוללת</w:t>
      </w:r>
      <w:r>
        <w:rPr>
          <w:rFonts w:hint="cs"/>
          <w:rtl/>
        </w:rPr>
        <w:t xml:space="preserve">.  </w:t>
      </w:r>
    </w:p>
    <w:p w14:paraId="59915CDF" w14:textId="77777777" w:rsidR="0087310E" w:rsidRDefault="0087310E" w:rsidP="00070C79">
      <w:pPr>
        <w:pStyle w:val="Hesber"/>
        <w:spacing w:line="276" w:lineRule="auto"/>
      </w:pPr>
      <w:r>
        <w:rPr>
          <w:rFonts w:hint="cs"/>
          <w:rtl/>
        </w:rPr>
        <w:t xml:space="preserve">עוד מוצע כי מוכר לא יכול להמשיך ולהצמיד את יתרת התשלום למדד כאשר הדירה נמצאת בשלב בו היא ראויה למגורים כפי ששר הבינוי והשיכון יקבע בתקנות, וכן כאשר </w:t>
      </w:r>
      <w:r w:rsidRPr="000A4FF9">
        <w:rPr>
          <w:rtl/>
        </w:rPr>
        <w:t>עבר המועד הקבוע למסירה בחוזה המכר</w:t>
      </w:r>
      <w:r>
        <w:rPr>
          <w:rFonts w:hint="cs"/>
          <w:rtl/>
        </w:rPr>
        <w:t>.</w:t>
      </w:r>
    </w:p>
    <w:p w14:paraId="38A4B619" w14:textId="77777777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 xml:space="preserve">הצעת חוק זו היא נדבך נוסף בבלימת עליית מחירי הנדל"ן בישראל, ומטרתה למנוע מרוכשי דירות רבים תשלום הצמדה שאינו סביר, על מרכיבים במחיר הדירה שאינם מושפעים מעליית המדד. </w:t>
      </w:r>
    </w:p>
    <w:p w14:paraId="419B4E62" w14:textId="43EF5B96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 xml:space="preserve">הצעת חוק זהה הונחה על שולחן הכנסת העשרים וארבע על ידי חבר הכנסת בצלאל </w:t>
      </w:r>
      <w:proofErr w:type="spellStart"/>
      <w:r>
        <w:rPr>
          <w:rFonts w:hint="cs"/>
          <w:rtl/>
        </w:rPr>
        <w:t>סמוטריץ</w:t>
      </w:r>
      <w:proofErr w:type="spellEnd"/>
      <w:r>
        <w:rPr>
          <w:rFonts w:hint="cs"/>
          <w:rtl/>
        </w:rPr>
        <w:t>' וקבוצת חברי הכנסת (פ/3064/24).</w:t>
      </w:r>
    </w:p>
    <w:p w14:paraId="3B22DFC5" w14:textId="7E52E52D" w:rsidR="0087310E" w:rsidRDefault="0087310E" w:rsidP="00070C79">
      <w:pPr>
        <w:pStyle w:val="Hesber"/>
        <w:spacing w:line="276" w:lineRule="auto"/>
        <w:rPr>
          <w:rtl/>
        </w:rPr>
      </w:pPr>
      <w:r>
        <w:rPr>
          <w:rFonts w:hint="cs"/>
          <w:rtl/>
        </w:rPr>
        <w:t xml:space="preserve">הצעת החוק זהה </w:t>
      </w:r>
      <w:proofErr w:type="spellStart"/>
      <w:r>
        <w:rPr>
          <w:rFonts w:hint="cs"/>
          <w:rtl/>
        </w:rPr>
        <w:t>לפ</w:t>
      </w:r>
      <w:proofErr w:type="spellEnd"/>
      <w:r>
        <w:rPr>
          <w:rFonts w:hint="cs"/>
          <w:rtl/>
        </w:rPr>
        <w:t>/3064/24 ולפיכך לא נבדקה מחדש על ידי הלשכה המשפטית של הכנסת.</w:t>
      </w:r>
    </w:p>
    <w:p w14:paraId="7F6961CB" w14:textId="77777777" w:rsidR="00E13C27" w:rsidRDefault="00E13C27" w:rsidP="00070C79">
      <w:pPr>
        <w:pStyle w:val="HeadHatzaotHok"/>
        <w:spacing w:line="276" w:lineRule="auto"/>
        <w:rPr>
          <w:rtl/>
        </w:rPr>
      </w:pPr>
    </w:p>
    <w:p w14:paraId="18382BF4" w14:textId="77777777" w:rsidR="00723419" w:rsidRDefault="00070C79" w:rsidP="00070C79">
      <w:pPr>
        <w:spacing w:before="0" w:line="276" w:lineRule="auto"/>
        <w:jc w:val="left"/>
      </w:pPr>
      <w:bookmarkStart w:id="8" w:name="selectedDocDateB"/>
      <w:bookmarkEnd w:id="8"/>
      <w:r>
        <w:rPr>
          <w:rFonts w:ascii="David" w:eastAsia="David" w:hAnsi="David" w:cs="David" w:hint="cs"/>
          <w:sz w:val="26"/>
          <w:szCs w:val="26"/>
          <w:rtl/>
        </w:rPr>
        <w:t>--------------------------------</w:t>
      </w:r>
    </w:p>
    <w:p w14:paraId="3DFAF64C" w14:textId="77777777" w:rsidR="00723419" w:rsidRDefault="00070C79" w:rsidP="00070C79">
      <w:pPr>
        <w:spacing w:before="0" w:line="276" w:lineRule="auto"/>
        <w:jc w:val="left"/>
      </w:pPr>
      <w:r>
        <w:rPr>
          <w:rFonts w:ascii="David" w:eastAsia="David" w:hAnsi="David" w:cs="David" w:hint="cs"/>
          <w:sz w:val="26"/>
          <w:szCs w:val="26"/>
          <w:rtl/>
        </w:rPr>
        <w:t>הוגשה ליו"ר הכנסת והסגנים</w:t>
      </w:r>
    </w:p>
    <w:p w14:paraId="5FC7A676" w14:textId="77777777" w:rsidR="00723419" w:rsidRDefault="00070C79" w:rsidP="00070C79">
      <w:pPr>
        <w:spacing w:before="0" w:line="276" w:lineRule="auto"/>
        <w:jc w:val="left"/>
      </w:pPr>
      <w:r>
        <w:rPr>
          <w:rFonts w:ascii="David" w:eastAsia="David" w:hAnsi="David" w:cs="David" w:hint="cs"/>
          <w:sz w:val="26"/>
          <w:szCs w:val="26"/>
          <w:rtl/>
        </w:rPr>
        <w:t>והונחה על שולחן הכנסת ביום</w:t>
      </w:r>
    </w:p>
    <w:p w14:paraId="0949E971" w14:textId="77777777" w:rsidR="00723419" w:rsidRDefault="00070C79" w:rsidP="00070C79">
      <w:pPr>
        <w:spacing w:before="0" w:line="276" w:lineRule="auto"/>
        <w:jc w:val="left"/>
      </w:pPr>
      <w:r>
        <w:rPr>
          <w:rFonts w:ascii="David" w:eastAsia="David" w:hAnsi="David" w:cs="David" w:hint="cs"/>
          <w:sz w:val="26"/>
          <w:szCs w:val="26"/>
          <w:rtl/>
        </w:rPr>
        <w:t xml:space="preserve">כ"ט בשבט </w:t>
      </w:r>
      <w:proofErr w:type="spellStart"/>
      <w:r>
        <w:rPr>
          <w:rFonts w:ascii="David" w:eastAsia="David" w:hAnsi="David" w:cs="David" w:hint="cs"/>
          <w:sz w:val="26"/>
          <w:szCs w:val="26"/>
          <w:rtl/>
        </w:rPr>
        <w:t>התשפ"ב</w:t>
      </w:r>
      <w:proofErr w:type="spellEnd"/>
      <w:r>
        <w:rPr>
          <w:rFonts w:ascii="David" w:eastAsia="David" w:hAnsi="David" w:cs="David" w:hint="cs"/>
          <w:sz w:val="26"/>
          <w:szCs w:val="26"/>
          <w:rtl/>
        </w:rPr>
        <w:t xml:space="preserve"> (31.01.2022) </w:t>
      </w:r>
    </w:p>
    <w:p w14:paraId="6E965498" w14:textId="77777777" w:rsidR="00723419" w:rsidRDefault="00723419">
      <w:pPr>
        <w:spacing w:before="0" w:line="276" w:lineRule="auto"/>
        <w:jc w:val="left"/>
      </w:pPr>
    </w:p>
    <w:sectPr w:rsidR="00723419" w:rsidSect="00F231B2">
      <w:footerReference w:type="even" r:id="rId11"/>
      <w:footerReference w:type="default" r:id="rId12"/>
      <w:pgSz w:w="11907" w:h="16840" w:code="9"/>
      <w:pgMar w:top="1701" w:right="1134" w:bottom="1417" w:left="1134" w:header="680" w:footer="680" w:gutter="0"/>
      <w:cols w:space="720"/>
      <w:noEndnote/>
      <w:titlePg/>
      <w:bidi/>
      <w:rtlGutter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2D3E" w14:textId="77777777" w:rsidR="00F231B2" w:rsidRDefault="00F231B2">
      <w:r>
        <w:separator/>
      </w:r>
    </w:p>
  </w:endnote>
  <w:endnote w:type="continuationSeparator" w:id="0">
    <w:p w14:paraId="225980A2" w14:textId="77777777" w:rsidR="00F231B2" w:rsidRDefault="00F231B2">
      <w:r>
        <w:continuationSeparator/>
      </w:r>
    </w:p>
  </w:endnote>
  <w:endnote w:type="continuationNotice" w:id="1">
    <w:p w14:paraId="02834202" w14:textId="77777777" w:rsidR="00F231B2" w:rsidRDefault="00F231B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adasa Roso SL">
    <w:altName w:val="Times New Roman"/>
    <w:charset w:val="00"/>
    <w:family w:val="roman"/>
    <w:pitch w:val="variable"/>
    <w:sig w:usb0="80001827" w:usb1="5000004A" w:usb2="0000002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61D5" w14:textId="77777777" w:rsidR="002C3041" w:rsidRDefault="002C3041" w:rsidP="001207F8">
    <w:pPr>
      <w:pStyle w:val="a9"/>
      <w:framePr w:wrap="around" w:vAnchor="text" w:hAnchor="text" w:xAlign="center" w:y="1"/>
      <w:rPr>
        <w:rStyle w:val="ab"/>
      </w:rPr>
    </w:pPr>
    <w:r>
      <w:rPr>
        <w:rStyle w:val="ab"/>
        <w:rtl/>
      </w:rPr>
      <w:fldChar w:fldCharType="begin"/>
    </w:r>
    <w:r>
      <w:rPr>
        <w:rStyle w:val="ab"/>
      </w:rPr>
      <w:instrText xml:space="preserve">PAGE  </w:instrText>
    </w:r>
    <w:r>
      <w:rPr>
        <w:rStyle w:val="ab"/>
        <w:rtl/>
      </w:rPr>
      <w:fldChar w:fldCharType="end"/>
    </w:r>
  </w:p>
  <w:p w14:paraId="7F6961D6" w14:textId="77777777" w:rsidR="002C3041" w:rsidRDefault="002C30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61D7" w14:textId="19238E42" w:rsidR="002C3041" w:rsidRDefault="002C3041" w:rsidP="001207F8">
    <w:pPr>
      <w:pStyle w:val="a9"/>
      <w:framePr w:wrap="around" w:vAnchor="text" w:hAnchor="text" w:xAlign="center" w:y="1"/>
      <w:rPr>
        <w:rStyle w:val="ab"/>
      </w:rPr>
    </w:pPr>
    <w:r>
      <w:rPr>
        <w:rStyle w:val="ab"/>
        <w:rtl/>
      </w:rPr>
      <w:fldChar w:fldCharType="begin"/>
    </w:r>
    <w:r>
      <w:rPr>
        <w:rStyle w:val="ab"/>
      </w:rPr>
      <w:instrText xml:space="preserve">PAGE  </w:instrText>
    </w:r>
    <w:r>
      <w:rPr>
        <w:rStyle w:val="ab"/>
        <w:rtl/>
      </w:rPr>
      <w:fldChar w:fldCharType="separate"/>
    </w:r>
    <w:r w:rsidR="00070C79">
      <w:rPr>
        <w:rStyle w:val="ab"/>
        <w:noProof/>
        <w:rtl/>
      </w:rPr>
      <w:t>2</w:t>
    </w:r>
    <w:r>
      <w:rPr>
        <w:rStyle w:val="ab"/>
        <w:rtl/>
      </w:rPr>
      <w:fldChar w:fldCharType="end"/>
    </w:r>
  </w:p>
  <w:p w14:paraId="7F6961D8" w14:textId="77777777" w:rsidR="002C3041" w:rsidRDefault="002C30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F150" w14:textId="77777777" w:rsidR="00F231B2" w:rsidRDefault="00F231B2">
      <w:r>
        <w:separator/>
      </w:r>
    </w:p>
  </w:footnote>
  <w:footnote w:type="continuationSeparator" w:id="0">
    <w:p w14:paraId="4C4AD25C" w14:textId="77777777" w:rsidR="00F231B2" w:rsidRDefault="00F231B2">
      <w:r>
        <w:continuationSeparator/>
      </w:r>
    </w:p>
  </w:footnote>
  <w:footnote w:type="continuationNotice" w:id="1">
    <w:p w14:paraId="386324A9" w14:textId="77777777" w:rsidR="00F231B2" w:rsidRDefault="00F231B2"/>
  </w:footnote>
  <w:footnote w:id="2">
    <w:p w14:paraId="21EAA3D1" w14:textId="77777777" w:rsidR="0087310E" w:rsidRDefault="0087310E" w:rsidP="0087310E">
      <w:pPr>
        <w:pStyle w:val="a4"/>
      </w:pPr>
      <w:r>
        <w:rPr>
          <w:rStyle w:val="a6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ס"ח </w:t>
      </w:r>
      <w:proofErr w:type="spellStart"/>
      <w:r>
        <w:rPr>
          <w:rFonts w:hint="cs"/>
          <w:rtl/>
        </w:rPr>
        <w:t>התשל"ג</w:t>
      </w:r>
      <w:proofErr w:type="spellEnd"/>
      <w:r>
        <w:rPr>
          <w:rFonts w:hint="cs"/>
          <w:rtl/>
        </w:rPr>
        <w:t>, עמ' 196.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6AAD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5CA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E88A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DA1E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305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22F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6C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FE92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424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D08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DD78F3"/>
    <w:multiLevelType w:val="hybridMultilevel"/>
    <w:tmpl w:val="9E4C4E42"/>
    <w:lvl w:ilvl="0" w:tplc="861C87C0">
      <w:start w:val="1"/>
      <w:numFmt w:val="decimal"/>
      <w:lvlText w:val="(%1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B0598A"/>
    <w:multiLevelType w:val="hybridMultilevel"/>
    <w:tmpl w:val="746CCEE6"/>
    <w:lvl w:ilvl="0" w:tplc="040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24ACC"/>
    <w:multiLevelType w:val="hybridMultilevel"/>
    <w:tmpl w:val="F27AEDC6"/>
    <w:lvl w:ilvl="0" w:tplc="E05CD4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C544D"/>
    <w:multiLevelType w:val="hybridMultilevel"/>
    <w:tmpl w:val="B170A16C"/>
    <w:lvl w:ilvl="0" w:tplc="746489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3D4E8B2">
      <w:start w:val="1"/>
      <w:numFmt w:val="decimal"/>
      <w:lvlText w:val="(%2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 w:tplc="5D2AB1E4">
      <w:start w:val="1"/>
      <w:numFmt w:val="hebrew1"/>
      <w:lvlText w:val="(%3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3" w:tplc="1F820BA4">
      <w:start w:val="1"/>
      <w:numFmt w:val="hebrew1"/>
      <w:lvlRestart w:val="0"/>
      <w:lvlText w:val="(%4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4" w:tplc="62C6E096">
      <w:start w:val="1"/>
      <w:numFmt w:val="decimal"/>
      <w:lvlRestart w:val="0"/>
      <w:lvlText w:val="(%5)"/>
      <w:lvlJc w:val="left"/>
      <w:pPr>
        <w:tabs>
          <w:tab w:val="num" w:pos="3864"/>
        </w:tabs>
        <w:ind w:left="3240" w:firstLine="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C858E4"/>
    <w:multiLevelType w:val="hybridMultilevel"/>
    <w:tmpl w:val="882C6ED4"/>
    <w:lvl w:ilvl="0" w:tplc="4112A21E">
      <w:start w:val="1"/>
      <w:numFmt w:val="hebrew1"/>
      <w:lvlRestart w:val="0"/>
      <w:lvlText w:val="(%1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1" w:tplc="49082BE6">
      <w:start w:val="1"/>
      <w:numFmt w:val="decimal"/>
      <w:lvlRestart w:val="0"/>
      <w:lvlText w:val="(%2)"/>
      <w:lvlJc w:val="left"/>
      <w:pPr>
        <w:tabs>
          <w:tab w:val="num" w:pos="1704"/>
        </w:tabs>
        <w:ind w:left="1080" w:firstLine="0"/>
      </w:pPr>
      <w:rPr>
        <w:rFonts w:hint="default"/>
      </w:rPr>
    </w:lvl>
    <w:lvl w:ilvl="2" w:tplc="48C06176">
      <w:start w:val="1"/>
      <w:numFmt w:val="decimal"/>
      <w:lvlRestart w:val="0"/>
      <w:lvlText w:val="(%3)"/>
      <w:lvlJc w:val="left"/>
      <w:pPr>
        <w:tabs>
          <w:tab w:val="num" w:pos="2604"/>
        </w:tabs>
        <w:ind w:left="1980" w:firstLine="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5450641">
    <w:abstractNumId w:val="9"/>
  </w:num>
  <w:num w:numId="2" w16cid:durableId="1588615652">
    <w:abstractNumId w:val="7"/>
  </w:num>
  <w:num w:numId="3" w16cid:durableId="1281690560">
    <w:abstractNumId w:val="6"/>
  </w:num>
  <w:num w:numId="4" w16cid:durableId="1031875639">
    <w:abstractNumId w:val="5"/>
  </w:num>
  <w:num w:numId="5" w16cid:durableId="266040441">
    <w:abstractNumId w:val="4"/>
  </w:num>
  <w:num w:numId="6" w16cid:durableId="1291862132">
    <w:abstractNumId w:val="8"/>
  </w:num>
  <w:num w:numId="7" w16cid:durableId="106775369">
    <w:abstractNumId w:val="3"/>
  </w:num>
  <w:num w:numId="8" w16cid:durableId="2142337710">
    <w:abstractNumId w:val="2"/>
  </w:num>
  <w:num w:numId="9" w16cid:durableId="1549607526">
    <w:abstractNumId w:val="1"/>
  </w:num>
  <w:num w:numId="10" w16cid:durableId="902177430">
    <w:abstractNumId w:val="0"/>
  </w:num>
  <w:num w:numId="11" w16cid:durableId="494077008">
    <w:abstractNumId w:val="11"/>
  </w:num>
  <w:num w:numId="12" w16cid:durableId="522325905">
    <w:abstractNumId w:val="13"/>
  </w:num>
  <w:num w:numId="13" w16cid:durableId="147718714">
    <w:abstractNumId w:val="10"/>
  </w:num>
  <w:num w:numId="14" w16cid:durableId="979917028">
    <w:abstractNumId w:val="14"/>
  </w:num>
  <w:num w:numId="15" w16cid:durableId="6578057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riginalName" w:val="tmp482240lsCopyOriginal.docx"/>
    <w:docVar w:name="StartMode" w:val="2"/>
  </w:docVars>
  <w:rsids>
    <w:rsidRoot w:val="00DB7060"/>
    <w:rsid w:val="0000131B"/>
    <w:rsid w:val="00015B27"/>
    <w:rsid w:val="00063A3E"/>
    <w:rsid w:val="00070C79"/>
    <w:rsid w:val="00072CAC"/>
    <w:rsid w:val="0007681A"/>
    <w:rsid w:val="000A542E"/>
    <w:rsid w:val="00102B6B"/>
    <w:rsid w:val="001052D4"/>
    <w:rsid w:val="0010644B"/>
    <w:rsid w:val="001207F8"/>
    <w:rsid w:val="00121924"/>
    <w:rsid w:val="001279A8"/>
    <w:rsid w:val="0014195F"/>
    <w:rsid w:val="00152609"/>
    <w:rsid w:val="00153E1B"/>
    <w:rsid w:val="001A0623"/>
    <w:rsid w:val="001C23B0"/>
    <w:rsid w:val="001D7AAF"/>
    <w:rsid w:val="00203A7F"/>
    <w:rsid w:val="0021633A"/>
    <w:rsid w:val="002200A1"/>
    <w:rsid w:val="002362BF"/>
    <w:rsid w:val="00241B97"/>
    <w:rsid w:val="002425D1"/>
    <w:rsid w:val="00246756"/>
    <w:rsid w:val="00251E58"/>
    <w:rsid w:val="00254605"/>
    <w:rsid w:val="00266D86"/>
    <w:rsid w:val="002728B4"/>
    <w:rsid w:val="0027600C"/>
    <w:rsid w:val="00292712"/>
    <w:rsid w:val="002A487D"/>
    <w:rsid w:val="002C2E29"/>
    <w:rsid w:val="002C3041"/>
    <w:rsid w:val="002D1EE3"/>
    <w:rsid w:val="002F1D80"/>
    <w:rsid w:val="003232A2"/>
    <w:rsid w:val="00325C14"/>
    <w:rsid w:val="0036422C"/>
    <w:rsid w:val="003710F6"/>
    <w:rsid w:val="00386E88"/>
    <w:rsid w:val="00396585"/>
    <w:rsid w:val="003C24C6"/>
    <w:rsid w:val="003D6E38"/>
    <w:rsid w:val="003D74A0"/>
    <w:rsid w:val="004033D8"/>
    <w:rsid w:val="004073F0"/>
    <w:rsid w:val="00412A7D"/>
    <w:rsid w:val="00416B4D"/>
    <w:rsid w:val="00417CFC"/>
    <w:rsid w:val="004A06DC"/>
    <w:rsid w:val="004B24ED"/>
    <w:rsid w:val="004B6625"/>
    <w:rsid w:val="004D2D82"/>
    <w:rsid w:val="004D3876"/>
    <w:rsid w:val="004E4552"/>
    <w:rsid w:val="004E6CDF"/>
    <w:rsid w:val="00547024"/>
    <w:rsid w:val="00553C9D"/>
    <w:rsid w:val="00562A66"/>
    <w:rsid w:val="005B064E"/>
    <w:rsid w:val="005D51AE"/>
    <w:rsid w:val="0062674B"/>
    <w:rsid w:val="006363B2"/>
    <w:rsid w:val="00644940"/>
    <w:rsid w:val="006818A9"/>
    <w:rsid w:val="006A2D81"/>
    <w:rsid w:val="006C1D0D"/>
    <w:rsid w:val="0070601E"/>
    <w:rsid w:val="00712C72"/>
    <w:rsid w:val="00723419"/>
    <w:rsid w:val="00735FE9"/>
    <w:rsid w:val="00763CAA"/>
    <w:rsid w:val="00765F66"/>
    <w:rsid w:val="0078664F"/>
    <w:rsid w:val="007A27CE"/>
    <w:rsid w:val="007C3FA6"/>
    <w:rsid w:val="007D585A"/>
    <w:rsid w:val="007D5A12"/>
    <w:rsid w:val="007E59F9"/>
    <w:rsid w:val="00810BCD"/>
    <w:rsid w:val="00812C98"/>
    <w:rsid w:val="00814D92"/>
    <w:rsid w:val="0083181D"/>
    <w:rsid w:val="00843EB2"/>
    <w:rsid w:val="00865572"/>
    <w:rsid w:val="0087310E"/>
    <w:rsid w:val="00874BBC"/>
    <w:rsid w:val="00892135"/>
    <w:rsid w:val="00895449"/>
    <w:rsid w:val="00897879"/>
    <w:rsid w:val="008A6870"/>
    <w:rsid w:val="008C2DDC"/>
    <w:rsid w:val="008C7516"/>
    <w:rsid w:val="008E6EC7"/>
    <w:rsid w:val="008F0D63"/>
    <w:rsid w:val="008F1308"/>
    <w:rsid w:val="008F2C35"/>
    <w:rsid w:val="008F6665"/>
    <w:rsid w:val="00904591"/>
    <w:rsid w:val="00905E5F"/>
    <w:rsid w:val="0091204F"/>
    <w:rsid w:val="009203DB"/>
    <w:rsid w:val="00923CD4"/>
    <w:rsid w:val="00930EFE"/>
    <w:rsid w:val="00943386"/>
    <w:rsid w:val="009456B6"/>
    <w:rsid w:val="00957589"/>
    <w:rsid w:val="00966D06"/>
    <w:rsid w:val="00982412"/>
    <w:rsid w:val="00983A8D"/>
    <w:rsid w:val="009A0DB8"/>
    <w:rsid w:val="009A71E5"/>
    <w:rsid w:val="009A7257"/>
    <w:rsid w:val="009D6E0A"/>
    <w:rsid w:val="009E1E33"/>
    <w:rsid w:val="00A14672"/>
    <w:rsid w:val="00A26BD6"/>
    <w:rsid w:val="00A443CF"/>
    <w:rsid w:val="00A6611D"/>
    <w:rsid w:val="00A82CB7"/>
    <w:rsid w:val="00A942C1"/>
    <w:rsid w:val="00AA2F03"/>
    <w:rsid w:val="00AC36F7"/>
    <w:rsid w:val="00AC63A4"/>
    <w:rsid w:val="00AD239E"/>
    <w:rsid w:val="00B10265"/>
    <w:rsid w:val="00B16A99"/>
    <w:rsid w:val="00B21211"/>
    <w:rsid w:val="00B35784"/>
    <w:rsid w:val="00B733A7"/>
    <w:rsid w:val="00B75C91"/>
    <w:rsid w:val="00B975AD"/>
    <w:rsid w:val="00BC45FB"/>
    <w:rsid w:val="00BE543F"/>
    <w:rsid w:val="00BF148D"/>
    <w:rsid w:val="00C23B1A"/>
    <w:rsid w:val="00C310EB"/>
    <w:rsid w:val="00C7464B"/>
    <w:rsid w:val="00C9176A"/>
    <w:rsid w:val="00CF1AA2"/>
    <w:rsid w:val="00CF795D"/>
    <w:rsid w:val="00D142D3"/>
    <w:rsid w:val="00D17774"/>
    <w:rsid w:val="00D63620"/>
    <w:rsid w:val="00D8410D"/>
    <w:rsid w:val="00D867D7"/>
    <w:rsid w:val="00DB7060"/>
    <w:rsid w:val="00DE00E7"/>
    <w:rsid w:val="00DE3153"/>
    <w:rsid w:val="00E06736"/>
    <w:rsid w:val="00E13C27"/>
    <w:rsid w:val="00E22F9A"/>
    <w:rsid w:val="00E33BBD"/>
    <w:rsid w:val="00E374F2"/>
    <w:rsid w:val="00E45103"/>
    <w:rsid w:val="00E55A60"/>
    <w:rsid w:val="00E62778"/>
    <w:rsid w:val="00E635A2"/>
    <w:rsid w:val="00E63D38"/>
    <w:rsid w:val="00E665B9"/>
    <w:rsid w:val="00EA01E6"/>
    <w:rsid w:val="00EA3DE8"/>
    <w:rsid w:val="00EA758F"/>
    <w:rsid w:val="00EB0FDE"/>
    <w:rsid w:val="00ED4A6F"/>
    <w:rsid w:val="00EF3A3A"/>
    <w:rsid w:val="00F231B2"/>
    <w:rsid w:val="00F628D6"/>
    <w:rsid w:val="00F67051"/>
    <w:rsid w:val="00F86A1E"/>
    <w:rsid w:val="00FA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oNotEmbedSmartTags/>
  <w:decimalSymbol w:val="."/>
  <w:listSeparator w:val=","/>
  <w14:docId w14:val="7F6961A1"/>
  <w15:docId w15:val="{422E6843-7CB1-447A-99DD-827BD643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5AD"/>
    <w:pPr>
      <w:widowControl w:val="0"/>
      <w:autoSpaceDE w:val="0"/>
      <w:autoSpaceDN w:val="0"/>
      <w:bidi/>
      <w:adjustRightInd w:val="0"/>
      <w:spacing w:before="102" w:line="204" w:lineRule="atLeast"/>
      <w:ind w:firstLine="340"/>
      <w:jc w:val="both"/>
      <w:textAlignment w:val="center"/>
    </w:pPr>
    <w:rPr>
      <w:rFonts w:ascii="Hadasa Roso SL" w:hAnsi="Hadasa Roso SL" w:cs="Hadasa Roso SL"/>
      <w:color w:val="000000"/>
      <w:spacing w:val="1"/>
      <w:sz w:val="17"/>
      <w:szCs w:val="17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943386"/>
    <w:pPr>
      <w:widowControl w:val="0"/>
      <w:autoSpaceDE w:val="0"/>
      <w:autoSpaceDN w:val="0"/>
      <w:bidi/>
      <w:adjustRightInd w:val="0"/>
      <w:snapToGrid w:val="0"/>
      <w:spacing w:line="360" w:lineRule="auto"/>
      <w:textAlignment w:val="center"/>
    </w:pPr>
    <w:rPr>
      <w:rFonts w:ascii="Arial" w:eastAsia="Arial Unicode MS" w:hAnsi="Arial" w:cs="David"/>
      <w:snapToGrid w:val="0"/>
      <w:color w:val="000000"/>
      <w:szCs w:val="26"/>
      <w:lang w:eastAsia="ja-JP"/>
    </w:rPr>
  </w:style>
  <w:style w:type="paragraph" w:customStyle="1" w:styleId="Cover1-Reshumot">
    <w:name w:val="Cover 1-Reshumot"/>
    <w:basedOn w:val="a"/>
    <w:rsid w:val="00B975AD"/>
    <w:pPr>
      <w:tabs>
        <w:tab w:val="left" w:pos="1191"/>
        <w:tab w:val="left" w:pos="1587"/>
      </w:tabs>
      <w:snapToGrid w:val="0"/>
      <w:spacing w:before="240" w:after="240" w:line="480" w:lineRule="auto"/>
      <w:ind w:firstLine="0"/>
      <w:jc w:val="center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Cover2-HatzaotHok">
    <w:name w:val="Cover 2-HatzaotHok"/>
    <w:basedOn w:val="Cover1-Reshumot"/>
    <w:rsid w:val="00B975AD"/>
    <w:rPr>
      <w:sz w:val="36"/>
      <w:szCs w:val="52"/>
    </w:rPr>
  </w:style>
  <w:style w:type="paragraph" w:customStyle="1" w:styleId="Cover3-Haknesset">
    <w:name w:val="Cover 3-Haknesset"/>
    <w:basedOn w:val="Cover1-Reshumot"/>
    <w:rsid w:val="00B975AD"/>
    <w:rPr>
      <w:b/>
      <w:bCs/>
      <w:spacing w:val="60"/>
    </w:rPr>
  </w:style>
  <w:style w:type="paragraph" w:customStyle="1" w:styleId="Cover4-Date">
    <w:name w:val="Cover 4-Date"/>
    <w:basedOn w:val="a"/>
    <w:rsid w:val="00B975AD"/>
    <w:pPr>
      <w:pBdr>
        <w:bottom w:val="single" w:sz="4" w:space="0" w:color="auto"/>
      </w:pBdr>
      <w:tabs>
        <w:tab w:val="center" w:pos="4820"/>
        <w:tab w:val="right" w:pos="9639"/>
      </w:tabs>
      <w:snapToGrid w:val="0"/>
      <w:spacing w:before="240" w:after="240" w:line="360" w:lineRule="auto"/>
      <w:ind w:firstLine="0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TOC">
    <w:name w:val="TOC"/>
    <w:basedOn w:val="Noparagraphstyle"/>
    <w:rsid w:val="00943386"/>
    <w:pPr>
      <w:tabs>
        <w:tab w:val="left" w:leader="dot" w:pos="8789"/>
      </w:tabs>
      <w:spacing w:before="120"/>
      <w:ind w:left="284" w:right="284"/>
    </w:pPr>
  </w:style>
  <w:style w:type="paragraph" w:customStyle="1" w:styleId="TOCpg">
    <w:name w:val="TOC pg"/>
    <w:basedOn w:val="TOC"/>
    <w:rsid w:val="00943386"/>
    <w:pPr>
      <w:spacing w:after="120"/>
      <w:ind w:right="567"/>
      <w:jc w:val="right"/>
    </w:pPr>
  </w:style>
  <w:style w:type="paragraph" w:customStyle="1" w:styleId="HeadMitparsemetBaze">
    <w:name w:val="Head MitparsemetBaze"/>
    <w:basedOn w:val="a"/>
    <w:rsid w:val="00B975AD"/>
    <w:pPr>
      <w:keepNext/>
      <w:keepLines/>
      <w:pageBreakBefore/>
      <w:snapToGrid w:val="0"/>
      <w:spacing w:before="480" w:line="360" w:lineRule="auto"/>
      <w:ind w:firstLine="0"/>
    </w:pPr>
    <w:rPr>
      <w:rFonts w:ascii="Arial" w:eastAsia="Arial Unicode MS" w:hAnsi="Arial" w:cs="David"/>
      <w:b/>
      <w:bCs/>
      <w:snapToGrid w:val="0"/>
      <w:spacing w:val="0"/>
      <w:sz w:val="20"/>
      <w:szCs w:val="26"/>
    </w:rPr>
  </w:style>
  <w:style w:type="paragraph" w:customStyle="1" w:styleId="HeadHatzaotHok">
    <w:name w:val="Head HatzaotHok"/>
    <w:basedOn w:val="a"/>
    <w:rsid w:val="00B975AD"/>
    <w:pPr>
      <w:keepNext/>
      <w:keepLines/>
      <w:snapToGrid w:val="0"/>
      <w:spacing w:before="240" w:line="360" w:lineRule="auto"/>
      <w:ind w:firstLine="0"/>
      <w:jc w:val="center"/>
    </w:pPr>
    <w:rPr>
      <w:rFonts w:ascii="Arial" w:eastAsia="Arial Unicode MS" w:hAnsi="Arial" w:cs="David"/>
      <w:b/>
      <w:bCs/>
      <w:snapToGrid w:val="0"/>
      <w:spacing w:val="0"/>
      <w:sz w:val="20"/>
      <w:szCs w:val="26"/>
    </w:rPr>
  </w:style>
  <w:style w:type="paragraph" w:customStyle="1" w:styleId="HeadHatzaotHok4Futer">
    <w:name w:val="Head HatzaotHok4Futer"/>
    <w:basedOn w:val="HeadHatzaotHok"/>
    <w:rsid w:val="00B975AD"/>
    <w:pPr>
      <w:spacing w:before="120" w:after="120"/>
    </w:pPr>
    <w:rPr>
      <w:color w:val="FF0000"/>
      <w:w w:val="80"/>
    </w:rPr>
  </w:style>
  <w:style w:type="paragraph" w:styleId="a3">
    <w:name w:val="endnote text"/>
    <w:basedOn w:val="a"/>
    <w:semiHidden/>
    <w:rsid w:val="00B975AD"/>
    <w:pPr>
      <w:ind w:left="227" w:hanging="227"/>
    </w:pPr>
    <w:rPr>
      <w:sz w:val="14"/>
      <w:szCs w:val="22"/>
    </w:rPr>
  </w:style>
  <w:style w:type="paragraph" w:customStyle="1" w:styleId="TableText">
    <w:name w:val="Table Text"/>
    <w:basedOn w:val="a"/>
    <w:rsid w:val="00B975AD"/>
    <w:pPr>
      <w:keepLines/>
      <w:tabs>
        <w:tab w:val="left" w:pos="624"/>
        <w:tab w:val="left" w:pos="1247"/>
      </w:tabs>
      <w:snapToGrid w:val="0"/>
      <w:spacing w:before="0" w:line="360" w:lineRule="auto"/>
      <w:ind w:right="57" w:firstLine="0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TableSideHeading">
    <w:name w:val="Table SideHeading"/>
    <w:basedOn w:val="TableText"/>
    <w:rsid w:val="00B975AD"/>
  </w:style>
  <w:style w:type="paragraph" w:customStyle="1" w:styleId="TableBlock">
    <w:name w:val="Table Block"/>
    <w:basedOn w:val="TableText"/>
    <w:rsid w:val="00B975AD"/>
    <w:pPr>
      <w:ind w:right="0"/>
      <w:jc w:val="both"/>
    </w:pPr>
  </w:style>
  <w:style w:type="paragraph" w:customStyle="1" w:styleId="TableHead">
    <w:name w:val="Table Head"/>
    <w:basedOn w:val="TableText"/>
    <w:rsid w:val="00B975AD"/>
    <w:pPr>
      <w:ind w:right="0"/>
      <w:jc w:val="center"/>
    </w:pPr>
    <w:rPr>
      <w:b/>
      <w:bCs/>
    </w:rPr>
  </w:style>
  <w:style w:type="paragraph" w:customStyle="1" w:styleId="TableText2">
    <w:name w:val="Table Text2"/>
    <w:basedOn w:val="TableText"/>
    <w:rsid w:val="00943386"/>
  </w:style>
  <w:style w:type="paragraph" w:customStyle="1" w:styleId="TableInnerSideHeading">
    <w:name w:val="Table InnerSideHeading"/>
    <w:basedOn w:val="TableSideHeading"/>
    <w:rsid w:val="00B975AD"/>
  </w:style>
  <w:style w:type="paragraph" w:customStyle="1" w:styleId="Hesber">
    <w:name w:val="Hesber"/>
    <w:basedOn w:val="a"/>
    <w:rsid w:val="00B975AD"/>
    <w:pPr>
      <w:snapToGrid w:val="0"/>
      <w:spacing w:before="0" w:line="360" w:lineRule="auto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styleId="a4">
    <w:name w:val="footnote text"/>
    <w:basedOn w:val="a"/>
    <w:link w:val="a5"/>
    <w:autoRedefine/>
    <w:semiHidden/>
    <w:rsid w:val="00B975AD"/>
    <w:pPr>
      <w:snapToGrid w:val="0"/>
      <w:spacing w:before="0" w:line="240" w:lineRule="auto"/>
      <w:ind w:left="227" w:hanging="227"/>
      <w:jc w:val="left"/>
    </w:pPr>
    <w:rPr>
      <w:rFonts w:ascii="Arial" w:eastAsia="Arial Unicode MS" w:hAnsi="Arial" w:cs="David"/>
      <w:snapToGrid w:val="0"/>
      <w:spacing w:val="0"/>
      <w:sz w:val="14"/>
      <w:szCs w:val="20"/>
    </w:rPr>
  </w:style>
  <w:style w:type="character" w:styleId="a6">
    <w:name w:val="footnote reference"/>
    <w:aliases w:val="Footnote Reference_0,Footnote Reference"/>
    <w:basedOn w:val="a0"/>
    <w:semiHidden/>
    <w:rsid w:val="00B975AD"/>
    <w:rPr>
      <w:vertAlign w:val="superscript"/>
    </w:rPr>
  </w:style>
  <w:style w:type="paragraph" w:customStyle="1" w:styleId="HesberHeading">
    <w:name w:val="Hesber Heading"/>
    <w:basedOn w:val="Hesber"/>
    <w:rsid w:val="00B975AD"/>
    <w:pPr>
      <w:tabs>
        <w:tab w:val="left" w:pos="624"/>
        <w:tab w:val="left" w:pos="1247"/>
      </w:tabs>
      <w:ind w:firstLine="0"/>
    </w:pPr>
    <w:rPr>
      <w:b/>
      <w:bCs/>
    </w:rPr>
  </w:style>
  <w:style w:type="paragraph" w:customStyle="1" w:styleId="HesberWriters">
    <w:name w:val="Hesber Writers"/>
    <w:basedOn w:val="Hesber"/>
    <w:rsid w:val="00B975AD"/>
    <w:pPr>
      <w:spacing w:before="120" w:after="6000"/>
      <w:ind w:left="1418" w:firstLine="0"/>
      <w:jc w:val="right"/>
    </w:pPr>
    <w:rPr>
      <w:b/>
      <w:bCs/>
    </w:rPr>
  </w:style>
  <w:style w:type="paragraph" w:customStyle="1" w:styleId="Hesber1st">
    <w:name w:val="Hesber 1st"/>
    <w:basedOn w:val="Hesber"/>
    <w:rsid w:val="00B975AD"/>
    <w:pPr>
      <w:tabs>
        <w:tab w:val="left" w:pos="680"/>
        <w:tab w:val="left" w:pos="1020"/>
      </w:tabs>
      <w:ind w:firstLine="0"/>
    </w:pPr>
  </w:style>
  <w:style w:type="character" w:styleId="a7">
    <w:name w:val="endnote reference"/>
    <w:basedOn w:val="a0"/>
    <w:semiHidden/>
    <w:rsid w:val="00B975AD"/>
    <w:rPr>
      <w:vertAlign w:val="superscript"/>
    </w:rPr>
  </w:style>
  <w:style w:type="paragraph" w:customStyle="1" w:styleId="TableBlockOutdent">
    <w:name w:val="Table BlockOutdent"/>
    <w:basedOn w:val="TableBlock"/>
    <w:rsid w:val="00B975AD"/>
    <w:pPr>
      <w:ind w:left="624" w:hanging="624"/>
    </w:pPr>
  </w:style>
  <w:style w:type="paragraph" w:styleId="a8">
    <w:name w:val="header"/>
    <w:basedOn w:val="a"/>
    <w:rsid w:val="00B975AD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B975AD"/>
    <w:pPr>
      <w:tabs>
        <w:tab w:val="center" w:pos="4153"/>
        <w:tab w:val="right" w:pos="8306"/>
      </w:tabs>
    </w:pPr>
  </w:style>
  <w:style w:type="paragraph" w:customStyle="1" w:styleId="HeadDivreiHesber">
    <w:name w:val="Head DivreiHesber"/>
    <w:basedOn w:val="a"/>
    <w:rsid w:val="00B975AD"/>
    <w:pPr>
      <w:snapToGrid w:val="0"/>
      <w:spacing w:before="360" w:after="120" w:line="360" w:lineRule="auto"/>
      <w:ind w:firstLine="0"/>
      <w:jc w:val="center"/>
    </w:pPr>
    <w:rPr>
      <w:rFonts w:ascii="Arial" w:eastAsia="Arial Unicode MS" w:hAnsi="Arial" w:cs="David"/>
      <w:b/>
      <w:snapToGrid w:val="0"/>
      <w:spacing w:val="40"/>
      <w:sz w:val="20"/>
      <w:szCs w:val="26"/>
    </w:rPr>
  </w:style>
  <w:style w:type="paragraph" w:customStyle="1" w:styleId="Ragil">
    <w:name w:val="Ragil"/>
    <w:basedOn w:val="a"/>
    <w:rsid w:val="00B975AD"/>
    <w:pPr>
      <w:snapToGrid w:val="0"/>
      <w:spacing w:before="0" w:line="360" w:lineRule="auto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styleId="aa">
    <w:name w:val="Title"/>
    <w:basedOn w:val="a"/>
    <w:qFormat/>
    <w:rsid w:val="00943386"/>
    <w:pPr>
      <w:jc w:val="center"/>
    </w:pPr>
    <w:rPr>
      <w:rFonts w:cs="David"/>
      <w:b/>
      <w:bCs/>
      <w:sz w:val="28"/>
      <w:szCs w:val="28"/>
      <w:u w:val="single"/>
    </w:rPr>
  </w:style>
  <w:style w:type="character" w:styleId="ab">
    <w:name w:val="page number"/>
    <w:basedOn w:val="a0"/>
    <w:rsid w:val="00B975AD"/>
  </w:style>
  <w:style w:type="paragraph" w:customStyle="1" w:styleId="David">
    <w:name w:val="רגיל + (עברית ושפות אחרות) David"/>
    <w:aliases w:val="‏13 נק',מודגש,אחרי:  6 נק'"/>
    <w:basedOn w:val="a"/>
    <w:rsid w:val="001207F8"/>
    <w:pPr>
      <w:ind w:firstLine="0"/>
      <w:jc w:val="left"/>
    </w:pPr>
    <w:rPr>
      <w:rFonts w:cs="David"/>
      <w:sz w:val="26"/>
      <w:szCs w:val="26"/>
    </w:rPr>
  </w:style>
  <w:style w:type="paragraph" w:styleId="ac">
    <w:name w:val="Balloon Text"/>
    <w:basedOn w:val="a"/>
    <w:link w:val="ad"/>
    <w:semiHidden/>
    <w:unhideWhenUsed/>
    <w:rsid w:val="00325C1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טקסט בלונים תו"/>
    <w:basedOn w:val="a0"/>
    <w:link w:val="ac"/>
    <w:semiHidden/>
    <w:rsid w:val="00325C14"/>
    <w:rPr>
      <w:rFonts w:ascii="Tahoma" w:hAnsi="Tahoma" w:cs="Tahoma"/>
      <w:color w:val="000000"/>
      <w:spacing w:val="1"/>
      <w:sz w:val="16"/>
      <w:szCs w:val="16"/>
      <w:lang w:eastAsia="ja-JP"/>
    </w:rPr>
  </w:style>
  <w:style w:type="character" w:customStyle="1" w:styleId="a5">
    <w:name w:val="טקסט הערת שוליים תו"/>
    <w:basedOn w:val="a0"/>
    <w:link w:val="a4"/>
    <w:semiHidden/>
    <w:rsid w:val="0087310E"/>
    <w:rPr>
      <w:rFonts w:ascii="Arial" w:eastAsia="Arial Unicode MS" w:hAnsi="Arial" w:cs="David"/>
      <w:snapToGrid w:val="0"/>
      <w:color w:val="000000"/>
      <w:sz w:val="1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ABE13442BF316646AF5951F2A6F4E844" ma:contentTypeVersion="" ma:contentTypeDescription="צור מסמך חדש." ma:contentTypeScope="" ma:versionID="3e09f08e861ef8c9ca8a66bc33319a22">
  <xsd:schema xmlns:xsd="http://www.w3.org/2001/XMLSchema" xmlns:xs="http://www.w3.org/2001/XMLSchema" xmlns:p="http://schemas.microsoft.com/office/2006/metadata/properties" xmlns:ns2="290d5b49-c690-4c6f-bbb9-1e50dab33eee" targetNamespace="http://schemas.microsoft.com/office/2006/metadata/properties" ma:root="true" ma:fieldsID="d7dd2f529bbe50785394ddfd47ca1ac1" ns2:_="">
    <xsd:import namespace="290d5b49-c690-4c6f-bbb9-1e50dab33ee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d5b49-c690-4c6f-bbb9-1e50dab33e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משותף עם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CDC32B-DD97-493E-9196-3EF77D6F9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C69B5-4961-42C4-BB2B-450BB1FD4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568BDF-73E1-4B42-A3F9-16A0DEE3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d5b49-c690-4c6f-bbb9-1e50dab33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F4AFE3-9455-419C-8851-785A55F445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רשומות</vt:lpstr>
      <vt:lpstr>רשומות</vt:lpstr>
    </vt:vector>
  </TitlesOfParts>
  <Company>Knesset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רשומות</dc:title>
  <dc:creator>פרקטיקל</dc:creator>
  <cp:lastModifiedBy>Rony Dan</cp:lastModifiedBy>
  <cp:revision>11</cp:revision>
  <cp:lastPrinted>2022-01-24T17:02:00Z</cp:lastPrinted>
  <dcterms:created xsi:type="dcterms:W3CDTF">2015-04-20T09:58:00Z</dcterms:created>
  <dcterms:modified xsi:type="dcterms:W3CDTF">2024-01-30T13:15:00Z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0x010100ABE13442BF316646AF5951F2A6F4E844</vt:lpwstr>
  </property>
  <property fmtid="{D5CDD505-2E9C-101B-9397-08002B2CF9AE}" pid="3" name="_dlc_DocIdItemGuid">
    <vt:lpwstr>8badafff-95aa-4718-b074-a2d35988ffa8</vt:lpwstr>
  </property>
  <property fmtid="{D5CDD505-2E9C-101B-9397-08002B2CF9AE}" pid="4" name="SanhedrinDocumentType">
    <vt:r8>10</vt:r8>
  </property>
  <property fmtid="{D5CDD505-2E9C-101B-9397-08002B2CF9AE}" pid="5" name="SanhedrinItemID">
    <vt:r8>2169124</vt:r8>
  </property>
</Properties>
</file>