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FF21F" w14:textId="77777777" w:rsidR="006E7140" w:rsidRPr="00D93CE5" w:rsidRDefault="006E7140" w:rsidP="003D0A52">
      <w:pPr>
        <w:pStyle w:val="a5"/>
      </w:pPr>
      <w:r w:rsidRPr="00D93CE5">
        <w:rPr>
          <w:rFonts w:hint="cs"/>
          <w:rtl/>
        </w:rPr>
        <w:t>ב"ה</w:t>
      </w:r>
    </w:p>
    <w:p w14:paraId="6F88649A" w14:textId="5C1C97FF" w:rsidR="006E7140" w:rsidRPr="003D0A52" w:rsidRDefault="006E7140" w:rsidP="003D0A52">
      <w:pPr>
        <w:pStyle w:val="afa"/>
        <w:rPr>
          <w:rtl/>
        </w:rPr>
      </w:pPr>
      <w:r w:rsidRPr="003D0A52">
        <w:rPr>
          <w:rFonts w:hint="cs"/>
          <w:rtl/>
        </w:rPr>
        <w:t xml:space="preserve">תיק </w:t>
      </w:r>
      <w:r w:rsidRPr="003D0A52">
        <w:rPr>
          <w:rtl/>
        </w:rPr>
        <w:t>‏</w:t>
      </w:r>
      <w:r w:rsidR="007F0CFB" w:rsidRPr="007F0CFB">
        <w:rPr>
          <w:rtl/>
        </w:rPr>
        <w:t xml:space="preserve"> 1251655/4</w:t>
      </w:r>
    </w:p>
    <w:p w14:paraId="5E8863E0" w14:textId="375697E2" w:rsidR="006E7140" w:rsidRPr="003D0A52" w:rsidRDefault="006E7140" w:rsidP="003D0A52">
      <w:pPr>
        <w:pStyle w:val="aff4"/>
        <w:rPr>
          <w:rtl/>
        </w:rPr>
      </w:pPr>
      <w:r w:rsidRPr="003D0A52">
        <w:rPr>
          <w:rFonts w:hint="cs"/>
          <w:rtl/>
        </w:rPr>
        <w:t xml:space="preserve">בבית הדין הרבני </w:t>
      </w:r>
      <w:r w:rsidR="007F0CFB" w:rsidRPr="007F0CFB">
        <w:rPr>
          <w:rtl/>
        </w:rPr>
        <w:t>האזורי ירושלים</w:t>
      </w:r>
    </w:p>
    <w:p w14:paraId="316C7300" w14:textId="77777777" w:rsidR="006E7140" w:rsidRPr="00D93CE5" w:rsidRDefault="006E7140" w:rsidP="006E7140">
      <w:pPr>
        <w:pStyle w:val="aff5"/>
        <w:rPr>
          <w:rtl/>
        </w:rPr>
      </w:pPr>
      <w:r w:rsidRPr="00D93CE5">
        <w:rPr>
          <w:rFonts w:hint="cs"/>
          <w:rtl/>
        </w:rPr>
        <w:t>לפני כבוד הדיינים:</w:t>
      </w:r>
    </w:p>
    <w:p w14:paraId="28848CAF" w14:textId="23F81BD2" w:rsidR="006E7140" w:rsidRPr="00D93CE5" w:rsidRDefault="006E7140" w:rsidP="002A5312">
      <w:pPr>
        <w:pStyle w:val="af6"/>
        <w:rPr>
          <w:rtl/>
        </w:rPr>
      </w:pPr>
      <w:r>
        <w:rPr>
          <w:rFonts w:hint="cs"/>
          <w:rtl/>
        </w:rPr>
        <w:t xml:space="preserve">הרב </w:t>
      </w:r>
      <w:r w:rsidR="007F0CFB" w:rsidRPr="007F0CFB">
        <w:rPr>
          <w:rtl/>
        </w:rPr>
        <w:t>מרדכי רלב"ג – ראב"ד, הרב מרדכי מזרחי בר אור, הרב דוד שני</w:t>
      </w:r>
    </w:p>
    <w:p w14:paraId="0015EC92" w14:textId="51AE19F7" w:rsidR="006E7140" w:rsidRPr="003D0A52" w:rsidRDefault="006E7140" w:rsidP="003D0A52">
      <w:pPr>
        <w:pStyle w:val="afc"/>
        <w:rPr>
          <w:rtl/>
        </w:rPr>
      </w:pPr>
      <w:r w:rsidRPr="003D0A52">
        <w:rPr>
          <w:rFonts w:hint="cs"/>
          <w:rtl/>
        </w:rPr>
        <w:t>התובעת:</w:t>
      </w:r>
      <w:r w:rsidRPr="003D0A52">
        <w:rPr>
          <w:rtl/>
        </w:rPr>
        <w:tab/>
      </w:r>
      <w:r w:rsidRPr="003D0A52">
        <w:rPr>
          <w:rFonts w:hint="cs"/>
          <w:rtl/>
        </w:rPr>
        <w:t>פלוני</w:t>
      </w:r>
      <w:r w:rsidR="007F0CFB">
        <w:rPr>
          <w:rFonts w:hint="cs"/>
          <w:rtl/>
        </w:rPr>
        <w:t>ת</w:t>
      </w:r>
      <w:r w:rsidRPr="003D0A52">
        <w:rPr>
          <w:rtl/>
        </w:rPr>
        <w:tab/>
      </w:r>
      <w:r w:rsidRPr="003D0A52">
        <w:rPr>
          <w:sz w:val="22"/>
          <w:szCs w:val="28"/>
          <w:rtl/>
        </w:rPr>
        <w:t>(</w:t>
      </w:r>
      <w:r w:rsidRPr="003D0A52">
        <w:rPr>
          <w:rFonts w:hint="cs"/>
          <w:sz w:val="22"/>
          <w:szCs w:val="28"/>
          <w:rtl/>
        </w:rPr>
        <w:t xml:space="preserve">ע"י ב"כ עו"ד </w:t>
      </w:r>
      <w:r w:rsidR="007F0CFB" w:rsidRPr="007F0CFB">
        <w:rPr>
          <w:sz w:val="22"/>
          <w:szCs w:val="28"/>
          <w:rtl/>
        </w:rPr>
        <w:t>תמר ברש אבירם</w:t>
      </w:r>
      <w:r w:rsidRPr="003D0A52">
        <w:rPr>
          <w:rFonts w:hint="cs"/>
          <w:sz w:val="22"/>
          <w:szCs w:val="28"/>
          <w:rtl/>
        </w:rPr>
        <w:t>)</w:t>
      </w:r>
    </w:p>
    <w:p w14:paraId="64214C18" w14:textId="77777777" w:rsidR="006E7140" w:rsidRPr="00D93CE5" w:rsidRDefault="006E7140" w:rsidP="003D0A52">
      <w:pPr>
        <w:pStyle w:val="afc"/>
        <w:rPr>
          <w:rtl/>
        </w:rPr>
      </w:pPr>
      <w:r w:rsidRPr="00D93CE5">
        <w:rPr>
          <w:rtl/>
        </w:rPr>
        <w:t>נגד</w:t>
      </w:r>
    </w:p>
    <w:p w14:paraId="6C711141" w14:textId="1F27077A" w:rsidR="006E7140" w:rsidRDefault="006E7140" w:rsidP="007F0CFB">
      <w:pPr>
        <w:pStyle w:val="afc"/>
        <w:rPr>
          <w:rtl/>
        </w:rPr>
      </w:pPr>
      <w:r>
        <w:rPr>
          <w:rFonts w:hint="cs"/>
          <w:rtl/>
        </w:rPr>
        <w:t>הנתבע:</w:t>
      </w:r>
      <w:r>
        <w:rPr>
          <w:rtl/>
        </w:rPr>
        <w:tab/>
      </w:r>
      <w:r>
        <w:rPr>
          <w:rFonts w:hint="cs"/>
          <w:rtl/>
        </w:rPr>
        <w:t>פלוני</w:t>
      </w:r>
      <w:r>
        <w:rPr>
          <w:rtl/>
        </w:rPr>
        <w:tab/>
      </w:r>
    </w:p>
    <w:p w14:paraId="48AFDE9A" w14:textId="43E67A94" w:rsidR="006E7140" w:rsidRPr="003D0A52" w:rsidRDefault="006E7140" w:rsidP="003D0A52">
      <w:pPr>
        <w:pStyle w:val="afe"/>
        <w:rPr>
          <w:rtl/>
        </w:rPr>
      </w:pPr>
      <w:r w:rsidRPr="003D0A52">
        <w:rPr>
          <w:rtl/>
        </w:rPr>
        <w:t>הנדון:</w:t>
      </w:r>
      <w:r w:rsidRPr="003D0A52">
        <w:rPr>
          <w:rFonts w:hint="cs"/>
          <w:rtl/>
        </w:rPr>
        <w:t xml:space="preserve"> </w:t>
      </w:r>
      <w:r w:rsidR="007F0CFB">
        <w:rPr>
          <w:rFonts w:hint="cs"/>
          <w:rtl/>
        </w:rPr>
        <w:t>פטור מגט לחומרא למרות שלנה עימו</w:t>
      </w:r>
    </w:p>
    <w:p w14:paraId="63E7DE13" w14:textId="77777777" w:rsidR="007F0CFB" w:rsidRPr="007F0CFB" w:rsidRDefault="007F0CFB" w:rsidP="007F0CFB">
      <w:pPr>
        <w:keepNext/>
        <w:overflowPunct w:val="0"/>
        <w:autoSpaceDE w:val="0"/>
        <w:autoSpaceDN w:val="0"/>
        <w:adjustRightInd w:val="0"/>
        <w:spacing w:before="360" w:after="240" w:line="276" w:lineRule="exact"/>
        <w:jc w:val="center"/>
        <w:rPr>
          <w:rFonts w:ascii="Arial" w:eastAsia="Calibri" w:hAnsi="Arial"/>
          <w:bCs/>
          <w:spacing w:val="20"/>
          <w:kern w:val="28"/>
          <w:sz w:val="24"/>
          <w:szCs w:val="32"/>
          <w:rtl/>
        </w:rPr>
      </w:pPr>
      <w:r w:rsidRPr="007F0CFB">
        <w:rPr>
          <w:rFonts w:ascii="Arial" w:eastAsia="Calibri" w:hAnsi="Arial" w:hint="cs"/>
          <w:bCs/>
          <w:spacing w:val="20"/>
          <w:kern w:val="28"/>
          <w:sz w:val="24"/>
          <w:szCs w:val="32"/>
          <w:rtl/>
        </w:rPr>
        <w:t>החלטה</w:t>
      </w:r>
    </w:p>
    <w:p w14:paraId="513F676D" w14:textId="77777777" w:rsidR="007F0CFB" w:rsidRPr="007F0CFB" w:rsidRDefault="007F0CFB" w:rsidP="007F0CFB">
      <w:pPr>
        <w:pStyle w:val="a5"/>
        <w:rPr>
          <w:rtl/>
        </w:rPr>
      </w:pPr>
      <w:r w:rsidRPr="007F0CFB">
        <w:rPr>
          <w:rFonts w:hint="cs"/>
          <w:rtl/>
        </w:rPr>
        <w:t xml:space="preserve">בדיון האחרון נאמר בביה"ד שהצדדים היו יחד בחדר אחד בבית מלון לאחר הגירושין. אומנם שני הצדדים הודו שלא קיימו יחסי אישות. </w:t>
      </w:r>
    </w:p>
    <w:p w14:paraId="086FA95A" w14:textId="77777777" w:rsidR="007F0CFB" w:rsidRPr="007F0CFB" w:rsidRDefault="007F0CFB" w:rsidP="007F0CFB">
      <w:pPr>
        <w:pStyle w:val="a6"/>
        <w:rPr>
          <w:rtl/>
          <w:lang w:eastAsia="he-IL"/>
        </w:rPr>
      </w:pPr>
      <w:r w:rsidRPr="007F0CFB">
        <w:rPr>
          <w:rFonts w:hint="cs"/>
          <w:rtl/>
          <w:lang w:eastAsia="he-IL"/>
        </w:rPr>
        <w:t>בהחלטה מיום כ"א באדר א' תשפ"ב (22/2/2022) נאמר כי "</w:t>
      </w:r>
      <w:r w:rsidRPr="007F0CFB">
        <w:rPr>
          <w:rtl/>
          <w:lang w:eastAsia="he-IL"/>
        </w:rPr>
        <w:t>לאחר הדיון הבא יחליט ביה"ד על הצורך לסידור גט לחומרא בין הצדדים</w:t>
      </w:r>
      <w:r w:rsidRPr="007F0CFB">
        <w:rPr>
          <w:rFonts w:hint="cs"/>
          <w:rtl/>
          <w:lang w:eastAsia="he-IL"/>
        </w:rPr>
        <w:t>"</w:t>
      </w:r>
      <w:r w:rsidRPr="007F0CFB">
        <w:rPr>
          <w:rtl/>
          <w:lang w:eastAsia="he-IL"/>
        </w:rPr>
        <w:t>.</w:t>
      </w:r>
    </w:p>
    <w:p w14:paraId="3EC092A0" w14:textId="77777777" w:rsidR="007F0CFB" w:rsidRPr="007F0CFB" w:rsidRDefault="007F0CFB" w:rsidP="007F0CFB">
      <w:pPr>
        <w:pStyle w:val="a6"/>
        <w:rPr>
          <w:rtl/>
          <w:lang w:eastAsia="he-IL"/>
        </w:rPr>
      </w:pPr>
      <w:r w:rsidRPr="007F0CFB">
        <w:rPr>
          <w:rFonts w:hint="cs"/>
          <w:rtl/>
          <w:lang w:eastAsia="he-IL"/>
        </w:rPr>
        <w:t>אומנם לאחר העיון נראה שאין צורך להמתין לדיון הבא, וכבר עתה אפשר לקבוע כי אין צורך בסידור גט לחומרא, וזאת מהנימוקים דלהלן.</w:t>
      </w:r>
    </w:p>
    <w:p w14:paraId="7CC5CF0D" w14:textId="77777777" w:rsidR="007F0CFB" w:rsidRPr="007F0CFB" w:rsidRDefault="007F0CFB" w:rsidP="007F0CFB">
      <w:pPr>
        <w:pStyle w:val="-0"/>
        <w:rPr>
          <w:rtl/>
          <w:lang w:eastAsia="he-IL"/>
        </w:rPr>
      </w:pPr>
      <w:r w:rsidRPr="007F0CFB">
        <w:rPr>
          <w:rFonts w:hint="cs"/>
          <w:rtl/>
          <w:lang w:eastAsia="he-IL"/>
        </w:rPr>
        <w:t>לנה עימו בפונדקי</w:t>
      </w:r>
    </w:p>
    <w:p w14:paraId="4BA51823" w14:textId="74DB7A16" w:rsidR="007F0CFB" w:rsidRPr="007F0CFB" w:rsidRDefault="007F0CFB" w:rsidP="00D2270C">
      <w:pPr>
        <w:pStyle w:val="a5"/>
        <w:rPr>
          <w:rFonts w:eastAsia="Calibri"/>
          <w:kern w:val="28"/>
          <w:rtl/>
        </w:rPr>
      </w:pPr>
      <w:r w:rsidRPr="007F0CFB">
        <w:rPr>
          <w:rFonts w:hint="cs"/>
          <w:rtl/>
        </w:rPr>
        <w:t>המשנה</w:t>
      </w:r>
      <w:r w:rsidRPr="007F0CFB">
        <w:rPr>
          <w:rFonts w:eastAsia="Calibri" w:hint="cs"/>
          <w:kern w:val="28"/>
          <w:rtl/>
        </w:rPr>
        <w:t xml:space="preserve"> ב</w:t>
      </w:r>
      <w:r w:rsidRPr="007F0CFB">
        <w:rPr>
          <w:rFonts w:eastAsia="Calibri"/>
          <w:kern w:val="28"/>
          <w:rtl/>
        </w:rPr>
        <w:t>גיטין דף פא עמוד א</w:t>
      </w:r>
      <w:r w:rsidRPr="007F0CFB">
        <w:rPr>
          <w:rFonts w:eastAsia="Calibri" w:hint="cs"/>
          <w:kern w:val="28"/>
          <w:rtl/>
        </w:rPr>
        <w:t xml:space="preserve"> אומרת</w:t>
      </w:r>
      <w:r w:rsidR="00F679D3">
        <w:rPr>
          <w:rFonts w:eastAsia="Calibri" w:hint="cs"/>
          <w:kern w:val="28"/>
          <w:rtl/>
        </w:rPr>
        <w:t>:</w:t>
      </w:r>
    </w:p>
    <w:p w14:paraId="179BDEA5" w14:textId="77777777" w:rsidR="007F0CFB" w:rsidRPr="007F0CFB" w:rsidRDefault="007F0CFB" w:rsidP="00D2270C">
      <w:pPr>
        <w:pStyle w:val="Quote"/>
        <w:rPr>
          <w:rtl/>
          <w:lang w:eastAsia="he-IL"/>
        </w:rPr>
      </w:pPr>
      <w:r w:rsidRPr="007F0CFB">
        <w:rPr>
          <w:rtl/>
          <w:lang w:eastAsia="he-IL"/>
        </w:rPr>
        <w:t>מתני'. המגרש את אשתו ולנה עמו בפונדקי, ב"ש אומרים: אינה צריכה הימנו גט שני, ובה"א: צריכה הימנו גט שני. אימתי? בזמן שנתגרשה מן הנשואין. ומודים, בנתגרשה מן האירוסין - שאינה צריכה הימנו גט שני, מפני שאין לבו גס בה.</w:t>
      </w:r>
    </w:p>
    <w:p w14:paraId="51B910F2" w14:textId="77777777" w:rsidR="007F0CFB" w:rsidRPr="007F0CFB" w:rsidRDefault="007F0CFB" w:rsidP="00D2270C">
      <w:pPr>
        <w:pStyle w:val="a6"/>
        <w:rPr>
          <w:rtl/>
          <w:lang w:eastAsia="he-IL"/>
        </w:rPr>
      </w:pPr>
      <w:r w:rsidRPr="007F0CFB">
        <w:rPr>
          <w:rFonts w:hint="cs"/>
          <w:rtl/>
          <w:lang w:eastAsia="he-IL"/>
        </w:rPr>
        <w:t xml:space="preserve">הגמ' שם מביאה מחלוקת: לפי ר' יוחנן מחלוקת בית שמאי ובית הלל כשראוה שנבעלה דווקא, ונחלקו האם אדם עושה את בעילתו בעילת זנות או לא, אבל אם רק התייחדו לכו"ע אינה צריכה הימנו גט שני, דלא אמרינן הן הן עדי ייחוד הן הן עדי ביאה. </w:t>
      </w:r>
    </w:p>
    <w:p w14:paraId="43CBE5D0" w14:textId="77777777" w:rsidR="007F0CFB" w:rsidRPr="007F0CFB" w:rsidRDefault="007F0CFB" w:rsidP="00D2270C">
      <w:pPr>
        <w:pStyle w:val="a6"/>
        <w:rPr>
          <w:rtl/>
          <w:lang w:eastAsia="he-IL"/>
        </w:rPr>
      </w:pPr>
      <w:r w:rsidRPr="007F0CFB">
        <w:rPr>
          <w:rFonts w:hint="cs"/>
          <w:rtl/>
          <w:lang w:eastAsia="he-IL"/>
        </w:rPr>
        <w:t xml:space="preserve">אומנם המשנה שמחלקת בין אירוסין לנישואין סוברת שמדובר כשראו שהתייחדו, ונחלקו האם אמרינן הן הן עדי ייחוד הן הן עדי ביאה, אך אם ראו שנבעלה </w:t>
      </w:r>
      <w:r w:rsidRPr="007F0CFB">
        <w:rPr>
          <w:rtl/>
          <w:lang w:eastAsia="he-IL"/>
        </w:rPr>
        <w:t>–</w:t>
      </w:r>
      <w:r w:rsidRPr="007F0CFB">
        <w:rPr>
          <w:rFonts w:hint="cs"/>
          <w:rtl/>
          <w:lang w:eastAsia="he-IL"/>
        </w:rPr>
        <w:t xml:space="preserve"> לכו"ע צריכה הימנו גט שני, דאין אדם עושה את בעילתו בעילת זנות.</w:t>
      </w:r>
    </w:p>
    <w:p w14:paraId="003C247F" w14:textId="77777777" w:rsidR="007F0CFB" w:rsidRPr="007F0CFB" w:rsidRDefault="007F0CFB" w:rsidP="00D2270C">
      <w:pPr>
        <w:pStyle w:val="a6"/>
        <w:rPr>
          <w:rtl/>
          <w:lang w:eastAsia="he-IL"/>
        </w:rPr>
      </w:pPr>
      <w:r w:rsidRPr="007F0CFB">
        <w:rPr>
          <w:rFonts w:hint="cs"/>
          <w:rtl/>
          <w:lang w:eastAsia="he-IL"/>
        </w:rPr>
        <w:t>הרמב"ם בהלכות גירושין פרק י הלכות יז-יח פוסק כהמשנה וכבית הלל:</w:t>
      </w:r>
    </w:p>
    <w:p w14:paraId="1F6172E1" w14:textId="77777777" w:rsidR="007F0CFB" w:rsidRPr="007F0CFB" w:rsidRDefault="007F0CFB" w:rsidP="00D2270C">
      <w:pPr>
        <w:pStyle w:val="Quote"/>
        <w:rPr>
          <w:rtl/>
          <w:lang w:eastAsia="he-IL"/>
        </w:rPr>
      </w:pPr>
      <w:r w:rsidRPr="007F0CFB">
        <w:rPr>
          <w:rtl/>
          <w:lang w:eastAsia="he-IL"/>
        </w:rPr>
        <w:t xml:space="preserve">המגרש את אשתו </w:t>
      </w:r>
      <w:r w:rsidRPr="007F0CFB">
        <w:rPr>
          <w:b/>
          <w:bCs/>
          <w:rtl/>
          <w:lang w:eastAsia="he-IL"/>
        </w:rPr>
        <w:t xml:space="preserve">וחזר </w:t>
      </w:r>
      <w:r w:rsidRPr="007F0CFB">
        <w:rPr>
          <w:rtl/>
          <w:lang w:eastAsia="he-IL"/>
        </w:rPr>
        <w:t>ובעלה</w:t>
      </w:r>
      <w:r w:rsidRPr="007F0CFB">
        <w:rPr>
          <w:b/>
          <w:bCs/>
          <w:rtl/>
          <w:lang w:eastAsia="he-IL"/>
        </w:rPr>
        <w:t xml:space="preserve"> בפני עדים</w:t>
      </w:r>
      <w:r w:rsidRPr="007F0CFB">
        <w:rPr>
          <w:rtl/>
          <w:lang w:eastAsia="he-IL"/>
        </w:rPr>
        <w:t xml:space="preserve"> קודם שתנשא לאחר בין שגירשה מן הנשואין בין מן האירוסין הואיל ואשתו היתה </w:t>
      </w:r>
      <w:r w:rsidRPr="007F0CFB">
        <w:rPr>
          <w:b/>
          <w:bCs/>
          <w:rtl/>
          <w:lang w:eastAsia="he-IL"/>
        </w:rPr>
        <w:t>הרי זו בחזקת שהחזירה ולשם קידושין בעל לא לשם זנות</w:t>
      </w:r>
      <w:r w:rsidRPr="007F0CFB">
        <w:rPr>
          <w:rtl/>
          <w:lang w:eastAsia="he-IL"/>
        </w:rPr>
        <w:t xml:space="preserve">, ואפילו ראו אותו שנתן לה מעות, שחזקה </w:t>
      </w:r>
      <w:r w:rsidRPr="007F0CFB">
        <w:rPr>
          <w:rtl/>
          <w:lang w:eastAsia="he-IL"/>
        </w:rPr>
        <w:lastRenderedPageBreak/>
        <w:t xml:space="preserve">היא שאין אדם עושה בעילתו באשתו בעילת זנות והרי בידו לעשותה בעילת מצוה, לפיכך הרי זו בחזקת מקודשת קידושי ודאי וצריכה ממנו גט שני. </w:t>
      </w:r>
    </w:p>
    <w:p w14:paraId="7880F189" w14:textId="77777777" w:rsidR="007F0CFB" w:rsidRPr="007F0CFB" w:rsidRDefault="007F0CFB" w:rsidP="00D2270C">
      <w:pPr>
        <w:pStyle w:val="Quote"/>
        <w:rPr>
          <w:rtl/>
          <w:lang w:eastAsia="he-IL"/>
        </w:rPr>
      </w:pPr>
      <w:r w:rsidRPr="007F0CFB">
        <w:rPr>
          <w:b/>
          <w:bCs/>
          <w:rtl/>
          <w:lang w:eastAsia="he-IL"/>
        </w:rPr>
        <w:t>נתייחד עמה בפני עדים</w:t>
      </w:r>
      <w:r w:rsidRPr="007F0CFB">
        <w:rPr>
          <w:rtl/>
          <w:lang w:eastAsia="he-IL"/>
        </w:rPr>
        <w:t xml:space="preserve"> והוא שיהיו שני העדים כאחד, אם היתה מגורשת מן הנשואין </w:t>
      </w:r>
      <w:r w:rsidRPr="007F0CFB">
        <w:rPr>
          <w:b/>
          <w:bCs/>
          <w:rtl/>
          <w:lang w:eastAsia="he-IL"/>
        </w:rPr>
        <w:t>חוששין לה שמא נבעלה והן הן עידי יחוד הן הן עידי ביאה</w:t>
      </w:r>
      <w:r w:rsidRPr="007F0CFB">
        <w:rPr>
          <w:rtl/>
          <w:lang w:eastAsia="he-IL"/>
        </w:rPr>
        <w:t>, שכל המקדש בביאה אינו צריך לבעול בפני עדים אלא יתייחד בפניהן ויבעול כמו שבארנו, לפיכך צריכה גט מספק והרי היא ספק מקודשת, ואם היתה מגורשת מן האירוסין אין חוששין לה שהרי אין לבו גס בה.</w:t>
      </w:r>
    </w:p>
    <w:p w14:paraId="05BEFFC5" w14:textId="22E78DA3" w:rsidR="007F0CFB" w:rsidRPr="007F0CFB" w:rsidRDefault="007F0CFB" w:rsidP="00477B31">
      <w:pPr>
        <w:pStyle w:val="a6"/>
        <w:rPr>
          <w:rtl/>
          <w:lang w:eastAsia="he-IL"/>
        </w:rPr>
      </w:pPr>
      <w:r w:rsidRPr="007F0CFB">
        <w:rPr>
          <w:rFonts w:hint="cs"/>
          <w:rtl/>
          <w:lang w:eastAsia="he-IL"/>
        </w:rPr>
        <w:t>וכן פסק ה</w:t>
      </w:r>
      <w:r w:rsidRPr="007F0CFB">
        <w:rPr>
          <w:rtl/>
          <w:lang w:eastAsia="he-IL"/>
        </w:rPr>
        <w:t>שולחן ערוך אבן העזר סימן קמט סעיף ב</w:t>
      </w:r>
      <w:r w:rsidR="00F679D3">
        <w:rPr>
          <w:rFonts w:hint="cs"/>
          <w:rtl/>
          <w:lang w:eastAsia="he-IL"/>
        </w:rPr>
        <w:t>:</w:t>
      </w:r>
    </w:p>
    <w:p w14:paraId="0B66EABB" w14:textId="77777777" w:rsidR="007F0CFB" w:rsidRPr="007F0CFB" w:rsidRDefault="007F0CFB" w:rsidP="00477B31">
      <w:pPr>
        <w:pStyle w:val="Quote"/>
        <w:rPr>
          <w:rtl/>
          <w:lang w:eastAsia="he-IL"/>
        </w:rPr>
      </w:pPr>
      <w:r w:rsidRPr="007F0CFB">
        <w:rPr>
          <w:rtl/>
          <w:lang w:eastAsia="he-IL"/>
        </w:rPr>
        <w:t>נתייחד עמה בפני שני עדים, והיו שני עדים כאחד, וראו הוא והיא את העדים, אם היתה מגורשת מן הנשואין, חוששין לה שמא נבעלה, והן הן עדי ייחוד הן הן עדי ביאה. לפיכך היא ספק מקודשת, וצריכה גט מספק.</w:t>
      </w:r>
    </w:p>
    <w:p w14:paraId="0647CA53" w14:textId="77777777" w:rsidR="007F0CFB" w:rsidRPr="007F0CFB" w:rsidRDefault="007F0CFB" w:rsidP="00477B31">
      <w:pPr>
        <w:pStyle w:val="a6"/>
        <w:rPr>
          <w:rtl/>
          <w:lang w:eastAsia="he-IL"/>
        </w:rPr>
      </w:pPr>
      <w:r w:rsidRPr="007F0CFB">
        <w:rPr>
          <w:rFonts w:hint="cs"/>
          <w:rtl/>
          <w:lang w:eastAsia="he-IL"/>
        </w:rPr>
        <w:t>לפיכך אם איש ואישה שהתגרשו התייחדו שניהם חוששין שמא היא מקודשת לו כעת, ואם תרצה להינשא לאחר יש לסדר להם גט.</w:t>
      </w:r>
    </w:p>
    <w:p w14:paraId="0B298316" w14:textId="5174EB2D" w:rsidR="007F0CFB" w:rsidRPr="007F0CFB" w:rsidRDefault="007F0CFB" w:rsidP="00477B31">
      <w:pPr>
        <w:pStyle w:val="a6"/>
        <w:rPr>
          <w:rtl/>
          <w:lang w:eastAsia="he-IL"/>
        </w:rPr>
      </w:pPr>
      <w:r w:rsidRPr="007F0CFB">
        <w:rPr>
          <w:rFonts w:hint="cs"/>
          <w:rtl/>
          <w:lang w:eastAsia="he-IL"/>
        </w:rPr>
        <w:t>למרות זאת במקרה דנן ברור שאין חשש קידושין כפי שיתבאר להלן</w:t>
      </w:r>
      <w:r w:rsidR="00731C54">
        <w:rPr>
          <w:rFonts w:hint="cs"/>
          <w:rtl/>
          <w:lang w:eastAsia="he-IL"/>
        </w:rPr>
        <w:t>.</w:t>
      </w:r>
    </w:p>
    <w:p w14:paraId="5296878E" w14:textId="77777777" w:rsidR="007F0CFB" w:rsidRPr="007F0CFB" w:rsidRDefault="007F0CFB" w:rsidP="007F0CFB">
      <w:pPr>
        <w:pStyle w:val="-0"/>
        <w:rPr>
          <w:rtl/>
          <w:lang w:eastAsia="he-IL"/>
        </w:rPr>
      </w:pPr>
      <w:r w:rsidRPr="007F0CFB">
        <w:rPr>
          <w:rFonts w:hint="cs"/>
          <w:rtl/>
          <w:lang w:eastAsia="he-IL"/>
        </w:rPr>
        <w:t>צריך עדים</w:t>
      </w:r>
    </w:p>
    <w:p w14:paraId="73DB4500" w14:textId="0D6EED26" w:rsidR="007F0CFB" w:rsidRPr="007F0CFB" w:rsidRDefault="007F0CFB" w:rsidP="00477B31">
      <w:pPr>
        <w:pStyle w:val="a5"/>
        <w:rPr>
          <w:rFonts w:eastAsia="Calibri"/>
          <w:rtl/>
        </w:rPr>
      </w:pPr>
      <w:r w:rsidRPr="007F0CFB">
        <w:rPr>
          <w:rFonts w:eastAsia="Calibri" w:hint="cs"/>
          <w:rtl/>
        </w:rPr>
        <w:t xml:space="preserve">הן הרמב"ם הן השו"ע שהובאו לעיל מצריכים עדים שיראו את הייחוד של האיש והאישה. השו"ע אף הוסיף שצריך שיראו הוא והיא את העדים. טעם הדבר </w:t>
      </w:r>
      <w:r w:rsidRPr="007F0CFB">
        <w:rPr>
          <w:rFonts w:eastAsia="Calibri"/>
          <w:rtl/>
        </w:rPr>
        <w:t>–</w:t>
      </w:r>
      <w:r w:rsidRPr="007F0CFB">
        <w:rPr>
          <w:rFonts w:eastAsia="Calibri" w:hint="cs"/>
          <w:rtl/>
        </w:rPr>
        <w:t xml:space="preserve"> החשש בנדון דנן הוא שמא קידש אותה בביאה, וקיימא לן שאין דבר שבערווה פחות משניים, ולכן אין חלות קידושין בלא עדים, ראה שו"ע אה"ע מב ב. וראה גם ש"ג בדף קו בדפי הרי"ף (בהוצאת עוז והדר) לשון ריא"ז שכתב שאם אין עדים אע"פ ששניהם מודים שהייתה ביאה לשם קידושין אינה מקודשת.</w:t>
      </w:r>
    </w:p>
    <w:p w14:paraId="3DF2F8DA" w14:textId="77777777" w:rsidR="007F0CFB" w:rsidRPr="007F0CFB" w:rsidRDefault="007F0CFB" w:rsidP="00477B31">
      <w:pPr>
        <w:pStyle w:val="a6"/>
        <w:rPr>
          <w:rtl/>
          <w:lang w:eastAsia="he-IL"/>
        </w:rPr>
      </w:pPr>
      <w:r w:rsidRPr="007F0CFB">
        <w:rPr>
          <w:rFonts w:hint="cs"/>
          <w:rtl/>
          <w:lang w:eastAsia="he-IL"/>
        </w:rPr>
        <w:t>במקרה דנן לא ידוע לנו שהיו עדים על הייחוד ולפיכך ברור ופשוט שאין לחשוש לקידושין.</w:t>
      </w:r>
    </w:p>
    <w:p w14:paraId="2D4193BF" w14:textId="77777777" w:rsidR="007F0CFB" w:rsidRPr="007F0CFB" w:rsidRDefault="007F0CFB" w:rsidP="00D2270C">
      <w:pPr>
        <w:pStyle w:val="-0"/>
        <w:rPr>
          <w:rtl/>
          <w:lang w:eastAsia="he-IL"/>
        </w:rPr>
      </w:pPr>
      <w:r w:rsidRPr="007F0CFB">
        <w:rPr>
          <w:rFonts w:hint="cs"/>
          <w:rtl/>
          <w:lang w:eastAsia="he-IL"/>
        </w:rPr>
        <w:t>שניהם מודים שלא הייתה ביאה</w:t>
      </w:r>
    </w:p>
    <w:p w14:paraId="47CDC3FA" w14:textId="77777777" w:rsidR="007F0CFB" w:rsidRPr="007F0CFB" w:rsidRDefault="007F0CFB" w:rsidP="00477B31">
      <w:pPr>
        <w:pStyle w:val="a5"/>
        <w:rPr>
          <w:rFonts w:eastAsia="Calibri"/>
          <w:kern w:val="28"/>
          <w:rtl/>
        </w:rPr>
      </w:pPr>
      <w:r w:rsidRPr="007F0CFB">
        <w:rPr>
          <w:rFonts w:eastAsia="Calibri" w:hint="cs"/>
          <w:kern w:val="28"/>
          <w:rtl/>
        </w:rPr>
        <w:t xml:space="preserve">בגמ' מבואר שחשש הקידושין במקרה שלנה עימו בפונדקי הוא מפני שהן הן עדי ייחוד הן הן עדי ביאה, וחוששין שבא עליה. אם ברור לנו שלא בא עליה בוודאי שאין קידושין כלל וכלל. </w:t>
      </w:r>
    </w:p>
    <w:p w14:paraId="3BE43380" w14:textId="77777777" w:rsidR="007F0CFB" w:rsidRPr="007F0CFB" w:rsidRDefault="007F0CFB" w:rsidP="00477B31">
      <w:pPr>
        <w:pStyle w:val="a6"/>
        <w:rPr>
          <w:rtl/>
          <w:lang w:eastAsia="he-IL"/>
        </w:rPr>
      </w:pPr>
      <w:r w:rsidRPr="007F0CFB">
        <w:rPr>
          <w:rFonts w:hint="cs"/>
          <w:rtl/>
          <w:lang w:eastAsia="he-IL"/>
        </w:rPr>
        <w:t>במקרה דנן שניהם אומרים שלא בא עליה. אומנם הם אומרים שהתייחדו, אך יחד עם זאת הם גם אומרים שלא הייתה ביאה, ונמצא שהפה שאסר הוא הפה שהתיר, שהרי איננו יודעים שנסתרו אלא מפיהם, והם גם אומרים שלא הייתה ביאה.</w:t>
      </w:r>
    </w:p>
    <w:p w14:paraId="3C987BA2" w14:textId="28317292" w:rsidR="007F0CFB" w:rsidRPr="007F0CFB" w:rsidRDefault="007F0CFB" w:rsidP="00477B31">
      <w:pPr>
        <w:pStyle w:val="a6"/>
        <w:rPr>
          <w:rtl/>
          <w:lang w:eastAsia="he-IL"/>
        </w:rPr>
      </w:pPr>
      <w:r w:rsidRPr="007F0CFB">
        <w:rPr>
          <w:rFonts w:hint="cs"/>
          <w:rtl/>
          <w:lang w:eastAsia="he-IL"/>
        </w:rPr>
        <w:t xml:space="preserve">יתרה מזאת, גם במקרה שהיו עדי ייחוד מצאנו שכתב השלטי גיבורים שמאמינים להם שלא הייתה ביאה אם שניהם אומרים שלא הייתה ביאה, ראה </w:t>
      </w:r>
      <w:r w:rsidRPr="007F0CFB">
        <w:rPr>
          <w:rtl/>
          <w:lang w:eastAsia="he-IL"/>
        </w:rPr>
        <w:t>בית שמואל סימן קמט ס"ק ד</w:t>
      </w:r>
      <w:r w:rsidR="00F679D3">
        <w:rPr>
          <w:rFonts w:hint="cs"/>
          <w:rtl/>
          <w:lang w:eastAsia="he-IL"/>
        </w:rPr>
        <w:t>:</w:t>
      </w:r>
      <w:r w:rsidRPr="007F0CFB">
        <w:rPr>
          <w:rFonts w:hint="cs"/>
          <w:rtl/>
          <w:lang w:eastAsia="he-IL"/>
        </w:rPr>
        <w:t xml:space="preserve"> "</w:t>
      </w:r>
      <w:r w:rsidRPr="007F0CFB">
        <w:rPr>
          <w:rtl/>
          <w:lang w:eastAsia="he-IL"/>
        </w:rPr>
        <w:t>ואם שניהם מודים שלא בא עליה כתב בש"ג שם דלא חיישינן שמא בא עליה וא"צ גט שני</w:t>
      </w:r>
      <w:r w:rsidRPr="007F0CFB">
        <w:rPr>
          <w:rFonts w:hint="cs"/>
          <w:rtl/>
          <w:lang w:eastAsia="he-IL"/>
        </w:rPr>
        <w:t>".</w:t>
      </w:r>
    </w:p>
    <w:p w14:paraId="40CBD04A" w14:textId="7562CDCF" w:rsidR="007F0CFB" w:rsidRPr="007F0CFB" w:rsidRDefault="007F0CFB" w:rsidP="00477B31">
      <w:pPr>
        <w:pStyle w:val="a6"/>
        <w:rPr>
          <w:rtl/>
          <w:lang w:eastAsia="he-IL"/>
        </w:rPr>
      </w:pPr>
      <w:r w:rsidRPr="007F0CFB">
        <w:rPr>
          <w:rFonts w:hint="cs"/>
          <w:rtl/>
          <w:lang w:eastAsia="he-IL"/>
        </w:rPr>
        <w:t>אך הבית שמואל עצמו משיג עליו וכותב</w:t>
      </w:r>
      <w:r w:rsidR="00F679D3">
        <w:rPr>
          <w:rFonts w:hint="cs"/>
          <w:rtl/>
          <w:lang w:eastAsia="he-IL"/>
        </w:rPr>
        <w:t>:</w:t>
      </w:r>
      <w:r w:rsidRPr="007F0CFB">
        <w:rPr>
          <w:rtl/>
          <w:lang w:eastAsia="he-IL"/>
        </w:rPr>
        <w:t xml:space="preserve"> </w:t>
      </w:r>
      <w:r w:rsidRPr="007F0CFB">
        <w:rPr>
          <w:rFonts w:hint="cs"/>
          <w:rtl/>
          <w:lang w:eastAsia="he-IL"/>
        </w:rPr>
        <w:t>"</w:t>
      </w:r>
      <w:r w:rsidRPr="007F0CFB">
        <w:rPr>
          <w:rtl/>
          <w:lang w:eastAsia="he-IL"/>
        </w:rPr>
        <w:t>וצל"ע מנ"ל דין זה כיון דקי"ל הן הן עידי יחוד הן הן עידי ביאה הוי כאלו עדים מעידי' ע"ז</w:t>
      </w:r>
      <w:r w:rsidRPr="007F0CFB">
        <w:rPr>
          <w:rFonts w:hint="cs"/>
          <w:rtl/>
          <w:lang w:eastAsia="he-IL"/>
        </w:rPr>
        <w:t xml:space="preserve">". כלומר, מכיוון שאמרינן הן הן עדי ייחוד הן הן עדי ביאה איך יוכלו להכחיש את העדים?! </w:t>
      </w:r>
    </w:p>
    <w:p w14:paraId="660289F0" w14:textId="77777777" w:rsidR="007F0CFB" w:rsidRPr="007F0CFB" w:rsidRDefault="007F0CFB" w:rsidP="00477B31">
      <w:pPr>
        <w:pStyle w:val="a6"/>
        <w:rPr>
          <w:rtl/>
          <w:lang w:eastAsia="he-IL"/>
        </w:rPr>
      </w:pPr>
      <w:r w:rsidRPr="007F0CFB">
        <w:rPr>
          <w:rFonts w:hint="cs"/>
          <w:rtl/>
          <w:lang w:eastAsia="he-IL"/>
        </w:rPr>
        <w:t>גם המהר"א די בוטון זצ"ל, תלמיד המהרשד"ם, כתב בתשובת לחם רב בסימן כז שלכאורה רש"י חולק על הש"ג:</w:t>
      </w:r>
    </w:p>
    <w:p w14:paraId="0A729AFA" w14:textId="793F1D1F" w:rsidR="007F0CFB" w:rsidRPr="007F0CFB" w:rsidRDefault="007F0CFB" w:rsidP="00477B31">
      <w:pPr>
        <w:pStyle w:val="Quote"/>
        <w:rPr>
          <w:rtl/>
          <w:lang w:eastAsia="he-IL"/>
        </w:rPr>
      </w:pPr>
      <w:r w:rsidRPr="007F0CFB">
        <w:rPr>
          <w:rtl/>
          <w:lang w:eastAsia="he-IL"/>
        </w:rPr>
        <w:t xml:space="preserve">איברא דיש להחמיר, דרש"י ז"ל כתב בפ' הזורק [פא ע"ב] וז"ל, הן הן עדי יחוד הן הן עדי ביאה, כלומר כיון שראו שנתיחדה אין צריך עדות של ביאה </w:t>
      </w:r>
      <w:r w:rsidRPr="007F0CFB">
        <w:rPr>
          <w:rtl/>
          <w:lang w:eastAsia="he-IL"/>
        </w:rPr>
        <w:lastRenderedPageBreak/>
        <w:t>גדולה מזו אנן סהדי כיון דגייסי אהדדי לא פרשו זה מזה ע"כ, וכיון דחשבינן ליה כעדים דאמרינן אנן סהדי, אפשר דאעפ"י שיודו שניהם דלא היה שם ביאה, דאינן נאמנים, דהרי זה כאילו קדש בפני עדים.</w:t>
      </w:r>
    </w:p>
    <w:p w14:paraId="69B013AD" w14:textId="77777777" w:rsidR="007F0CFB" w:rsidRPr="007F0CFB" w:rsidRDefault="007F0CFB" w:rsidP="00477B31">
      <w:pPr>
        <w:pStyle w:val="a6"/>
        <w:rPr>
          <w:rtl/>
          <w:lang w:eastAsia="he-IL"/>
        </w:rPr>
      </w:pPr>
      <w:r w:rsidRPr="007F0CFB">
        <w:rPr>
          <w:rFonts w:hint="cs"/>
          <w:rtl/>
          <w:lang w:eastAsia="he-IL"/>
        </w:rPr>
        <w:t>אך לאחר מכן כתב שיכול להיות שרש"י אינו חולק על הש"ג:</w:t>
      </w:r>
    </w:p>
    <w:p w14:paraId="22EFD028" w14:textId="77777777" w:rsidR="007F0CFB" w:rsidRPr="007F0CFB" w:rsidRDefault="007F0CFB" w:rsidP="00477B31">
      <w:pPr>
        <w:pStyle w:val="Quote"/>
        <w:rPr>
          <w:rtl/>
          <w:lang w:eastAsia="he-IL"/>
        </w:rPr>
      </w:pPr>
      <w:r w:rsidRPr="007F0CFB">
        <w:rPr>
          <w:rtl/>
          <w:lang w:eastAsia="he-IL"/>
        </w:rPr>
        <w:t>ומ"מ אפשר דהך אנן סהדי דכתב רש"י ז"ל לא הוי כעדים ממש, דהא נתבאר בדברי הפוסקים דעל הספק צריכה גט שני, והיא מגורשת מספק דילמא בא עליה, וכמו שכתב הרמב"ם ז"ל בפ"י מהל' גרושין [הי"ח], א"כ לדברי ריא"ז ז"ל כולי עלמא מודו.</w:t>
      </w:r>
    </w:p>
    <w:p w14:paraId="65114F1E" w14:textId="738C8F70" w:rsidR="007F0CFB" w:rsidRPr="007F0CFB" w:rsidRDefault="007F0CFB" w:rsidP="00477B31">
      <w:pPr>
        <w:pStyle w:val="a6"/>
        <w:rPr>
          <w:rtl/>
          <w:lang w:eastAsia="he-IL"/>
        </w:rPr>
      </w:pPr>
      <w:r w:rsidRPr="007F0CFB">
        <w:rPr>
          <w:rFonts w:hint="cs"/>
          <w:rtl/>
          <w:lang w:eastAsia="he-IL"/>
        </w:rPr>
        <w:t>ברור שכל זה אם היו עדים, אך במקרה דנן שלא ידוע לנו שהיו עדים בלא ספק אין צורך בגט כלל וכלל, ואין כלל אנן סהדי במקרה דנן שהתייחדו שהרי כל הידיעה על הייחוד הוא מפיהם והרי הם טוענים שלא הי</w:t>
      </w:r>
      <w:r w:rsidR="00731C54">
        <w:rPr>
          <w:rFonts w:hint="cs"/>
          <w:rtl/>
          <w:lang w:eastAsia="he-IL"/>
        </w:rPr>
        <w:t>י</w:t>
      </w:r>
      <w:r w:rsidRPr="007F0CFB">
        <w:rPr>
          <w:rFonts w:hint="cs"/>
          <w:rtl/>
          <w:lang w:eastAsia="he-IL"/>
        </w:rPr>
        <w:t>תה ביאה והפה שאסר הוא הפה שהתיר.</w:t>
      </w:r>
    </w:p>
    <w:p w14:paraId="641521C4" w14:textId="77777777" w:rsidR="007F0CFB" w:rsidRPr="007F0CFB" w:rsidRDefault="007F0CFB" w:rsidP="00D2270C">
      <w:pPr>
        <w:pStyle w:val="-0"/>
        <w:rPr>
          <w:rtl/>
          <w:lang w:eastAsia="he-IL"/>
        </w:rPr>
      </w:pPr>
      <w:r w:rsidRPr="007F0CFB">
        <w:rPr>
          <w:rFonts w:hint="cs"/>
          <w:rtl/>
          <w:lang w:eastAsia="he-IL"/>
        </w:rPr>
        <w:t>בבא על נדה אמרינן שעושה את בעילתו בעילת זנות</w:t>
      </w:r>
    </w:p>
    <w:p w14:paraId="19BD3D50" w14:textId="054D234E" w:rsidR="007F0CFB" w:rsidRPr="007F0CFB" w:rsidRDefault="007F0CFB" w:rsidP="00477B31">
      <w:pPr>
        <w:pStyle w:val="a5"/>
        <w:rPr>
          <w:rFonts w:eastAsia="Calibri"/>
          <w:kern w:val="28"/>
          <w:rtl/>
        </w:rPr>
      </w:pPr>
      <w:r w:rsidRPr="007F0CFB">
        <w:rPr>
          <w:rFonts w:eastAsia="Calibri" w:hint="cs"/>
          <w:kern w:val="28"/>
          <w:rtl/>
        </w:rPr>
        <w:t>מלבד האמור לעיל, גם אם היו עדים על הייחוד, מכל מקום יש לומר שהתכוון לזנות ולא לקידושין. ואע"פ שקיימא לן שאין אדם עושה את בעילתו בעילת זנות, היינו במקרה שנוהג בצדקות, ואמרינן שבוודאי רוצה לעשות על צד ההיתר ולא על צד האיסור, אך במקרה שבא על נדה שהוא איסור תורה ואיסור כרת חזינן שאינו חושש לעבור עבירות, ולמה שנאמר שלא רצה לעבור על איסור ביאת זנות הקל (שלכאורה אינו אלא דרבנן, אף לדברי הרמב"ם בתחילת הלכות אישות בעניין איסור קדשה, ואכמ"ל). ואכן כך כתב הרדב"ז ח"א סימן שנא,</w:t>
      </w:r>
      <w:r w:rsidRPr="007F0CFB">
        <w:rPr>
          <w:rFonts w:eastAsia="Calibri"/>
          <w:kern w:val="28"/>
          <w:rtl/>
        </w:rPr>
        <w:t xml:space="preserve"> </w:t>
      </w:r>
      <w:r w:rsidRPr="007F0CFB">
        <w:rPr>
          <w:rFonts w:eastAsia="Calibri" w:hint="cs"/>
          <w:kern w:val="28"/>
          <w:rtl/>
        </w:rPr>
        <w:t>וז"ל</w:t>
      </w:r>
      <w:r w:rsidR="00564836">
        <w:rPr>
          <w:rFonts w:eastAsia="Calibri" w:hint="cs"/>
          <w:kern w:val="28"/>
          <w:rtl/>
        </w:rPr>
        <w:t>:</w:t>
      </w:r>
    </w:p>
    <w:p w14:paraId="0BE5E920" w14:textId="7B501052" w:rsidR="007F0CFB" w:rsidRPr="007F0CFB" w:rsidRDefault="007F0CFB" w:rsidP="00477B31">
      <w:pPr>
        <w:pStyle w:val="Quote"/>
        <w:rPr>
          <w:rtl/>
          <w:lang w:eastAsia="he-IL"/>
        </w:rPr>
      </w:pPr>
      <w:r w:rsidRPr="007F0CFB">
        <w:rPr>
          <w:rtl/>
          <w:lang w:eastAsia="he-IL"/>
        </w:rPr>
        <w:t>דלא אמרו רבנן חזקה אין אדם עושה בעילתו ב"ז אלא בישראל הכשר שהוא זהיר במצות דלא שביק היתרא ואכיל איסורא או אפילו בישראל סתם דאכתי לא אתחזק לן. אבל מומר שהוא עובר על כל התורה כולה והוא פרוץ בעריות ובגויות איתרע חזקתי' ולא אמרינן חזקה אין עושה בעילתו ב"ז</w:t>
      </w:r>
      <w:r w:rsidR="00564836">
        <w:rPr>
          <w:rFonts w:hint="cs"/>
          <w:rtl/>
          <w:lang w:eastAsia="he-IL"/>
        </w:rPr>
        <w:t>.</w:t>
      </w:r>
    </w:p>
    <w:p w14:paraId="0E2D39E9" w14:textId="77777777" w:rsidR="007F0CFB" w:rsidRPr="007F0CFB" w:rsidRDefault="007F0CFB" w:rsidP="00477B31">
      <w:pPr>
        <w:pStyle w:val="a6"/>
        <w:rPr>
          <w:rtl/>
          <w:lang w:eastAsia="he-IL"/>
        </w:rPr>
      </w:pPr>
      <w:r w:rsidRPr="007F0CFB">
        <w:rPr>
          <w:rFonts w:hint="cs"/>
          <w:rtl/>
          <w:lang w:eastAsia="he-IL"/>
        </w:rPr>
        <w:t>אומנם יש בזה אריכות דברים, ראה פד"ר ז עמ' 40 ואילך, ועוד פד"רים נוספים, ואכמ"ל.</w:t>
      </w:r>
    </w:p>
    <w:p w14:paraId="7813457B" w14:textId="77777777" w:rsidR="007F0CFB" w:rsidRPr="007F0CFB" w:rsidRDefault="007F0CFB" w:rsidP="00D2270C">
      <w:pPr>
        <w:pStyle w:val="-0"/>
        <w:rPr>
          <w:rtl/>
          <w:lang w:eastAsia="he-IL"/>
        </w:rPr>
      </w:pPr>
      <w:r w:rsidRPr="007F0CFB">
        <w:rPr>
          <w:rFonts w:hint="cs"/>
          <w:rtl/>
          <w:lang w:eastAsia="he-IL"/>
        </w:rPr>
        <w:t>מסקנה</w:t>
      </w:r>
    </w:p>
    <w:p w14:paraId="165D7579" w14:textId="0D139472" w:rsidR="007F0CFB" w:rsidRPr="007F0CFB" w:rsidRDefault="007F0CFB" w:rsidP="00477B31">
      <w:pPr>
        <w:pStyle w:val="a5"/>
        <w:rPr>
          <w:rFonts w:eastAsia="Calibri"/>
          <w:kern w:val="28"/>
          <w:rtl/>
        </w:rPr>
      </w:pPr>
      <w:r w:rsidRPr="007F0CFB">
        <w:rPr>
          <w:rFonts w:eastAsia="Calibri" w:hint="cs"/>
          <w:kern w:val="28"/>
          <w:rtl/>
        </w:rPr>
        <w:t xml:space="preserve">מכיוון שבמקרה דנן לא ידוע לנו שהיו עדים על הייחוד </w:t>
      </w:r>
      <w:r w:rsidRPr="007F0CFB">
        <w:rPr>
          <w:rFonts w:eastAsia="Calibri" w:hint="cs"/>
          <w:b/>
          <w:bCs/>
          <w:kern w:val="28"/>
          <w:rtl/>
        </w:rPr>
        <w:t>אין צורך בגט כלל וכלל</w:t>
      </w:r>
      <w:r w:rsidRPr="007F0CFB">
        <w:rPr>
          <w:rFonts w:eastAsia="Calibri" w:hint="cs"/>
          <w:kern w:val="28"/>
          <w:rtl/>
        </w:rPr>
        <w:t>, וכל הידיעה שהתייחדו ה</w:t>
      </w:r>
      <w:r w:rsidR="00731C54">
        <w:rPr>
          <w:rFonts w:eastAsia="Calibri" w:hint="cs"/>
          <w:kern w:val="28"/>
          <w:rtl/>
        </w:rPr>
        <w:t>י</w:t>
      </w:r>
      <w:r w:rsidRPr="007F0CFB">
        <w:rPr>
          <w:rFonts w:eastAsia="Calibri" w:hint="cs"/>
          <w:kern w:val="28"/>
          <w:rtl/>
        </w:rPr>
        <w:t xml:space="preserve">יתה רק מפיהם </w:t>
      </w:r>
      <w:r w:rsidRPr="007F0CFB">
        <w:rPr>
          <w:rFonts w:eastAsia="Calibri"/>
          <w:kern w:val="28"/>
          <w:rtl/>
        </w:rPr>
        <w:t>–</w:t>
      </w:r>
      <w:r w:rsidRPr="007F0CFB">
        <w:rPr>
          <w:rFonts w:eastAsia="Calibri" w:hint="cs"/>
          <w:kern w:val="28"/>
          <w:rtl/>
        </w:rPr>
        <w:t xml:space="preserve"> הדין הוא שהפה שאסר הוא הפה שהתיר ונאמנים לומר שלא הי</w:t>
      </w:r>
      <w:r w:rsidR="00731C54">
        <w:rPr>
          <w:rFonts w:eastAsia="Calibri" w:hint="cs"/>
          <w:kern w:val="28"/>
          <w:rtl/>
        </w:rPr>
        <w:t>י</w:t>
      </w:r>
      <w:r w:rsidRPr="007F0CFB">
        <w:rPr>
          <w:rFonts w:eastAsia="Calibri" w:hint="cs"/>
          <w:kern w:val="28"/>
          <w:rtl/>
        </w:rPr>
        <w:t>תה ביאה ואין לחשוש כלל לקידושין, וכל שכן שיש סברה נוספת להקל, מצד שלא שייכת בבא על הנדה חזקה שאין אדם עושה בעילתו בעילת זנות.</w:t>
      </w:r>
    </w:p>
    <w:p w14:paraId="1A706B1E" w14:textId="77777777" w:rsidR="007F0CFB" w:rsidRPr="007F0CFB" w:rsidRDefault="007F0CFB" w:rsidP="00564836">
      <w:pPr>
        <w:pStyle w:val="a6"/>
        <w:rPr>
          <w:rtl/>
        </w:rPr>
      </w:pPr>
      <w:r w:rsidRPr="007F0CFB">
        <w:rPr>
          <w:rFonts w:hint="cs"/>
          <w:rtl/>
        </w:rPr>
        <w:t>ניתן לפרסם את פסק הדין לאחר השמטת פרטים מזהים.</w:t>
      </w:r>
      <w:sdt>
        <w:sdtPr>
          <w:rPr>
            <w:rFonts w:hint="cs"/>
            <w:rtl/>
          </w:rPr>
          <w:alias w:val="FamilyTreeRelation"/>
          <w:tag w:val="FamilyTreeRelation"/>
          <w:id w:val="1274903406"/>
          <w:placeholder>
            <w:docPart w:val="D7CF46BEA09B4F829B66E457DB4B8ACD"/>
          </w:placeholder>
          <w:text w:multiLine="1"/>
        </w:sdtPr>
        <w:sdtContent>
          <w:r w:rsidRPr="007F0CFB">
            <w:rPr>
              <w:rFonts w:hint="cs"/>
              <w:rtl/>
            </w:rPr>
            <w:t xml:space="preserve"> </w:t>
          </w:r>
        </w:sdtContent>
      </w:sdt>
    </w:p>
    <w:p w14:paraId="65CA0E4D" w14:textId="77777777" w:rsidR="007F0CFB" w:rsidRPr="007F0CFB" w:rsidRDefault="00000000" w:rsidP="00477B31">
      <w:pPr>
        <w:pStyle w:val="a6"/>
        <w:rPr>
          <w:rtl/>
          <w:lang w:eastAsia="he-IL"/>
        </w:rPr>
      </w:pPr>
      <w:sdt>
        <w:sdtPr>
          <w:rPr>
            <w:rFonts w:hint="cs"/>
            <w:rtl/>
            <w:lang w:eastAsia="he-IL"/>
          </w:rPr>
          <w:alias w:val="DecisionAllowedPublish"/>
          <w:tag w:val="DecisionAllowedPublish"/>
          <w:id w:val="-958026483"/>
          <w:placeholder>
            <w:docPart w:val="4301831A40EB486E94B470E03047D162"/>
          </w:placeholder>
          <w:text w:multiLine="1"/>
        </w:sdtPr>
        <w:sdtContent>
          <w:r w:rsidR="007F0CFB" w:rsidRPr="007F0CFB">
            <w:rPr>
              <w:rFonts w:hint="cs"/>
              <w:rtl/>
              <w:lang w:eastAsia="he-IL"/>
            </w:rPr>
            <w:t xml:space="preserve"> </w:t>
          </w:r>
        </w:sdtContent>
      </w:sdt>
    </w:p>
    <w:p w14:paraId="139386DA" w14:textId="31B77808" w:rsidR="007F0CFB" w:rsidRDefault="00564836" w:rsidP="00564836">
      <w:pPr>
        <w:pStyle w:val="a5"/>
        <w:rPr>
          <w:rtl/>
        </w:rPr>
      </w:pPr>
      <w:r w:rsidRPr="00564836">
        <w:rPr>
          <w:rtl/>
        </w:rPr>
        <w:t>ניתן ביום י"א באדר ב התשפ"ב (14/03/2022</w:t>
      </w:r>
      <w:r w:rsidR="007F0CFB" w:rsidRPr="007F0CFB">
        <w:rPr>
          <w:rFonts w:hint="cs"/>
          <w:rtl/>
        </w:rPr>
        <w:t>).</w:t>
      </w:r>
    </w:p>
    <w:p w14:paraId="6684AA4A" w14:textId="02A47CCE" w:rsidR="00564836" w:rsidRPr="007F0CFB" w:rsidRDefault="00564836" w:rsidP="00564836">
      <w:pPr>
        <w:pStyle w:val="af6"/>
        <w:rPr>
          <w:rtl/>
          <w:lang w:eastAsia="he-IL"/>
        </w:rPr>
      </w:pPr>
      <w:r>
        <w:rPr>
          <w:rFonts w:hint="cs"/>
          <w:rtl/>
        </w:rPr>
        <w:t xml:space="preserve">הרב </w:t>
      </w:r>
      <w:r w:rsidRPr="007F0CFB">
        <w:rPr>
          <w:rtl/>
        </w:rPr>
        <w:t>מרדכי רלב"ג – ראב"ד</w:t>
      </w:r>
      <w:r>
        <w:rPr>
          <w:rtl/>
        </w:rPr>
        <w:tab/>
      </w:r>
      <w:r w:rsidRPr="007F0CFB">
        <w:rPr>
          <w:rtl/>
        </w:rPr>
        <w:t>הרב מרדכי מזרחי בר אור</w:t>
      </w:r>
      <w:r>
        <w:rPr>
          <w:rtl/>
        </w:rPr>
        <w:tab/>
      </w:r>
      <w:r w:rsidRPr="007F0CFB">
        <w:rPr>
          <w:rtl/>
        </w:rPr>
        <w:t>הרב דוד שני</w:t>
      </w:r>
    </w:p>
    <w:p w14:paraId="5869CBCB" w14:textId="4F81FAB5" w:rsidR="001A042C" w:rsidRPr="007F0CFB" w:rsidRDefault="007F0CFB" w:rsidP="001A042C">
      <w:pPr>
        <w:pStyle w:val="a5"/>
        <w:rPr>
          <w:rFonts w:eastAsia="Calibri"/>
          <w:color w:val="808080" w:themeColor="background1" w:themeShade="80"/>
          <w:rtl/>
        </w:rPr>
      </w:pPr>
      <w:bookmarkStart w:id="0" w:name="WillDocument"/>
      <w:bookmarkEnd w:id="0"/>
      <w:r w:rsidRPr="007F0CFB">
        <w:rPr>
          <w:rFonts w:eastAsia="Calibri" w:hint="cs"/>
          <w:color w:val="808080" w:themeColor="background1" w:themeShade="80"/>
          <w:rtl/>
        </w:rPr>
        <w:t>הערה: מסמך זה עלול להכיל שינויי עריכה והגהה</w:t>
      </w:r>
    </w:p>
    <w:sectPr w:rsidR="001A042C" w:rsidRPr="007F0CFB" w:rsidSect="00ED4071">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069CF" w14:textId="77777777" w:rsidR="001410CD" w:rsidRDefault="001410CD" w:rsidP="00E2756A">
      <w:r>
        <w:separator/>
      </w:r>
    </w:p>
  </w:endnote>
  <w:endnote w:type="continuationSeparator" w:id="0">
    <w:p w14:paraId="654740A6" w14:textId="77777777" w:rsidR="001410CD" w:rsidRDefault="001410CD" w:rsidP="00E2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766914458"/>
      <w:docPartObj>
        <w:docPartGallery w:val="Page Numbers (Bottom of Page)"/>
        <w:docPartUnique/>
      </w:docPartObj>
    </w:sdtPr>
    <w:sdtContent>
      <w:p w14:paraId="32C80AD9" w14:textId="77777777" w:rsidR="00FA1DAB" w:rsidRDefault="009F2662" w:rsidP="00F4312B">
        <w:pPr>
          <w:pStyle w:val="Footer"/>
          <w:jc w:val="center"/>
        </w:pPr>
        <w:r>
          <w:fldChar w:fldCharType="begin"/>
        </w:r>
        <w:r>
          <w:rPr>
            <w:rtl/>
            <w:cs/>
          </w:rPr>
          <w:instrText>PAGE   \* MERGEFORMAT</w:instrText>
        </w:r>
        <w:r>
          <w:fldChar w:fldCharType="separate"/>
        </w:r>
        <w:r w:rsidR="00F24957" w:rsidRPr="00F24957">
          <w:rPr>
            <w:noProof/>
            <w:rtl/>
            <w:lang w:val="he-I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0270" w14:textId="77777777" w:rsidR="001410CD" w:rsidRDefault="001410CD" w:rsidP="00E2756A">
      <w:r>
        <w:separator/>
      </w:r>
    </w:p>
  </w:footnote>
  <w:footnote w:type="continuationSeparator" w:id="0">
    <w:p w14:paraId="09E44C2F" w14:textId="77777777" w:rsidR="001410CD" w:rsidRDefault="001410CD" w:rsidP="00E27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6BB57" w14:textId="77777777" w:rsidR="00FA1DAB" w:rsidRDefault="00FA1DAB" w:rsidP="00FA1DAB">
    <w:pPr>
      <w:pStyle w:val="Header"/>
      <w:rPr>
        <w:rFonts w:cs="David"/>
        <w:b/>
        <w:bCs/>
        <w:color w:val="1F497D" w:themeColor="text2"/>
        <w:sz w:val="52"/>
        <w:szCs w:val="52"/>
        <w:rtl/>
      </w:rPr>
    </w:pPr>
    <w:r>
      <w:rPr>
        <w:rFonts w:cs="David" w:hint="cs"/>
        <w:b/>
        <w:bCs/>
        <w:color w:val="1F497D" w:themeColor="text2"/>
        <w:sz w:val="52"/>
        <w:szCs w:val="52"/>
        <w:rtl/>
      </w:rPr>
      <w:tab/>
    </w:r>
    <w:r w:rsidRPr="000F286C">
      <w:rPr>
        <w:rFonts w:cs="David" w:hint="cs"/>
        <w:b/>
        <w:bCs/>
        <w:color w:val="1F497D" w:themeColor="text2"/>
        <w:sz w:val="52"/>
        <w:szCs w:val="52"/>
        <w:rtl/>
      </w:rPr>
      <w:t>מדינת ישראל</w:t>
    </w:r>
  </w:p>
  <w:p w14:paraId="00ADFFBE" w14:textId="77777777" w:rsidR="00FA1DAB" w:rsidRDefault="00FA1DAB" w:rsidP="00FA1DAB">
    <w:pPr>
      <w:pStyle w:val="Header"/>
      <w:jc w:val="center"/>
      <w:rPr>
        <w:rFonts w:cs="David"/>
        <w:b/>
        <w:bCs/>
        <w:color w:val="1F497D" w:themeColor="text2"/>
        <w:sz w:val="32"/>
        <w:szCs w:val="32"/>
      </w:rPr>
    </w:pPr>
    <w:r>
      <w:rPr>
        <w:rFonts w:cs="David" w:hint="cs"/>
        <w:b/>
        <w:bCs/>
        <w:color w:val="1F497D" w:themeColor="text2"/>
        <w:sz w:val="32"/>
        <w:szCs w:val="32"/>
        <w:rtl/>
      </w:rPr>
      <w:t>בתי הדין הרבניים</w:t>
    </w:r>
  </w:p>
  <w:p w14:paraId="2E38D2F3" w14:textId="77777777" w:rsidR="00FA1DAB" w:rsidRDefault="00FA1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93AEA"/>
    <w:multiLevelType w:val="hybridMultilevel"/>
    <w:tmpl w:val="D32268AC"/>
    <w:lvl w:ilvl="0" w:tplc="52F037CC">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2A32026"/>
    <w:multiLevelType w:val="hybridMultilevel"/>
    <w:tmpl w:val="D7C2D248"/>
    <w:lvl w:ilvl="0" w:tplc="4A52AF68">
      <w:start w:val="1"/>
      <w:numFmt w:val="hebrew1"/>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2" w15:restartNumberingAfterBreak="0">
    <w:nsid w:val="203C50D8"/>
    <w:multiLevelType w:val="multilevel"/>
    <w:tmpl w:val="CA42D256"/>
    <w:lvl w:ilvl="0">
      <w:start w:val="1"/>
      <w:numFmt w:val="hebrew1"/>
      <w:pStyle w:val="a"/>
      <w:lvlText w:val="%1."/>
      <w:lvlJc w:val="left"/>
      <w:pPr>
        <w:ind w:left="646" w:hanging="362"/>
      </w:pPr>
      <w:rPr>
        <w:rFonts w:hint="default"/>
      </w:rPr>
    </w:lvl>
    <w:lvl w:ilvl="1">
      <w:start w:val="1"/>
      <w:numFmt w:val="decimal"/>
      <w:lvlText w:val="(%2)"/>
      <w:lvlJc w:val="left"/>
      <w:pPr>
        <w:ind w:left="930" w:hanging="362"/>
      </w:pPr>
      <w:rPr>
        <w:rFonts w:cs="FrankRuehl" w:hint="cs"/>
        <w:szCs w:val="26"/>
      </w:rPr>
    </w:lvl>
    <w:lvl w:ilvl="2">
      <w:start w:val="1"/>
      <w:numFmt w:val="hebrew1"/>
      <w:lvlText w:val="(%3)"/>
      <w:lvlJc w:val="left"/>
      <w:pPr>
        <w:ind w:left="1214" w:hanging="362"/>
      </w:pPr>
      <w:rPr>
        <w:rFonts w:hint="default"/>
      </w:rPr>
    </w:lvl>
    <w:lvl w:ilvl="3">
      <w:start w:val="1"/>
      <w:numFmt w:val="decimal"/>
      <w:lvlText w:val="%4."/>
      <w:lvlJc w:val="left"/>
      <w:pPr>
        <w:ind w:left="1498" w:hanging="362"/>
      </w:pPr>
      <w:rPr>
        <w:rFonts w:hint="default"/>
      </w:rPr>
    </w:lvl>
    <w:lvl w:ilvl="4">
      <w:start w:val="1"/>
      <w:numFmt w:val="lowerLetter"/>
      <w:lvlText w:val="%5."/>
      <w:lvlJc w:val="left"/>
      <w:pPr>
        <w:ind w:left="1782" w:hanging="362"/>
      </w:pPr>
      <w:rPr>
        <w:rFonts w:hint="default"/>
      </w:rPr>
    </w:lvl>
    <w:lvl w:ilvl="5">
      <w:start w:val="1"/>
      <w:numFmt w:val="lowerRoman"/>
      <w:lvlText w:val="%6."/>
      <w:lvlJc w:val="right"/>
      <w:pPr>
        <w:ind w:left="2066" w:hanging="362"/>
      </w:pPr>
      <w:rPr>
        <w:rFonts w:hint="default"/>
      </w:rPr>
    </w:lvl>
    <w:lvl w:ilvl="6">
      <w:start w:val="1"/>
      <w:numFmt w:val="decimal"/>
      <w:lvlText w:val="%7."/>
      <w:lvlJc w:val="left"/>
      <w:pPr>
        <w:ind w:left="2350" w:hanging="362"/>
      </w:pPr>
      <w:rPr>
        <w:rFonts w:hint="default"/>
      </w:rPr>
    </w:lvl>
    <w:lvl w:ilvl="7">
      <w:start w:val="1"/>
      <w:numFmt w:val="lowerLetter"/>
      <w:lvlText w:val="%8."/>
      <w:lvlJc w:val="left"/>
      <w:pPr>
        <w:ind w:left="2634" w:hanging="362"/>
      </w:pPr>
      <w:rPr>
        <w:rFonts w:hint="default"/>
      </w:rPr>
    </w:lvl>
    <w:lvl w:ilvl="8">
      <w:start w:val="1"/>
      <w:numFmt w:val="lowerRoman"/>
      <w:lvlText w:val="%9."/>
      <w:lvlJc w:val="right"/>
      <w:pPr>
        <w:ind w:left="2918" w:hanging="362"/>
      </w:pPr>
      <w:rPr>
        <w:rFonts w:hint="default"/>
      </w:rPr>
    </w:lvl>
  </w:abstractNum>
  <w:abstractNum w:abstractNumId="3" w15:restartNumberingAfterBreak="0">
    <w:nsid w:val="2AD0193B"/>
    <w:multiLevelType w:val="hybridMultilevel"/>
    <w:tmpl w:val="926232AA"/>
    <w:lvl w:ilvl="0" w:tplc="2DC4434E">
      <w:start w:val="1"/>
      <w:numFmt w:val="hebrew1"/>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30667B78"/>
    <w:multiLevelType w:val="hybridMultilevel"/>
    <w:tmpl w:val="D0B686A4"/>
    <w:lvl w:ilvl="0" w:tplc="1354BBAC">
      <w:start w:val="1"/>
      <w:numFmt w:val="decimal"/>
      <w:lvlText w:val="%1."/>
      <w:lvlJc w:val="left"/>
      <w:pPr>
        <w:tabs>
          <w:tab w:val="num" w:pos="720"/>
        </w:tabs>
        <w:ind w:left="720" w:right="720" w:hanging="360"/>
      </w:pPr>
    </w:lvl>
    <w:lvl w:ilvl="1" w:tplc="3E94FCA2" w:tentative="1">
      <w:start w:val="1"/>
      <w:numFmt w:val="lowerLetter"/>
      <w:lvlText w:val="%2."/>
      <w:lvlJc w:val="left"/>
      <w:pPr>
        <w:tabs>
          <w:tab w:val="num" w:pos="1440"/>
        </w:tabs>
        <w:ind w:left="1440" w:right="1440" w:hanging="360"/>
      </w:pPr>
    </w:lvl>
    <w:lvl w:ilvl="2" w:tplc="8132CFF2" w:tentative="1">
      <w:start w:val="1"/>
      <w:numFmt w:val="lowerRoman"/>
      <w:lvlText w:val="%3."/>
      <w:lvlJc w:val="right"/>
      <w:pPr>
        <w:tabs>
          <w:tab w:val="num" w:pos="2160"/>
        </w:tabs>
        <w:ind w:left="2160" w:right="2160" w:hanging="180"/>
      </w:pPr>
    </w:lvl>
    <w:lvl w:ilvl="3" w:tplc="35DED86C" w:tentative="1">
      <w:start w:val="1"/>
      <w:numFmt w:val="decimal"/>
      <w:lvlText w:val="%4."/>
      <w:lvlJc w:val="left"/>
      <w:pPr>
        <w:tabs>
          <w:tab w:val="num" w:pos="2880"/>
        </w:tabs>
        <w:ind w:left="2880" w:right="2880" w:hanging="360"/>
      </w:pPr>
    </w:lvl>
    <w:lvl w:ilvl="4" w:tplc="69F0B5CA" w:tentative="1">
      <w:start w:val="1"/>
      <w:numFmt w:val="lowerLetter"/>
      <w:lvlText w:val="%5."/>
      <w:lvlJc w:val="left"/>
      <w:pPr>
        <w:tabs>
          <w:tab w:val="num" w:pos="3600"/>
        </w:tabs>
        <w:ind w:left="3600" w:right="3600" w:hanging="360"/>
      </w:pPr>
    </w:lvl>
    <w:lvl w:ilvl="5" w:tplc="B0760CC8" w:tentative="1">
      <w:start w:val="1"/>
      <w:numFmt w:val="lowerRoman"/>
      <w:lvlText w:val="%6."/>
      <w:lvlJc w:val="right"/>
      <w:pPr>
        <w:tabs>
          <w:tab w:val="num" w:pos="4320"/>
        </w:tabs>
        <w:ind w:left="4320" w:right="4320" w:hanging="180"/>
      </w:pPr>
    </w:lvl>
    <w:lvl w:ilvl="6" w:tplc="B764EE7E" w:tentative="1">
      <w:start w:val="1"/>
      <w:numFmt w:val="decimal"/>
      <w:lvlText w:val="%7."/>
      <w:lvlJc w:val="left"/>
      <w:pPr>
        <w:tabs>
          <w:tab w:val="num" w:pos="5040"/>
        </w:tabs>
        <w:ind w:left="5040" w:right="5040" w:hanging="360"/>
      </w:pPr>
    </w:lvl>
    <w:lvl w:ilvl="7" w:tplc="20A007AA" w:tentative="1">
      <w:start w:val="1"/>
      <w:numFmt w:val="lowerLetter"/>
      <w:lvlText w:val="%8."/>
      <w:lvlJc w:val="left"/>
      <w:pPr>
        <w:tabs>
          <w:tab w:val="num" w:pos="5760"/>
        </w:tabs>
        <w:ind w:left="5760" w:right="5760" w:hanging="360"/>
      </w:pPr>
    </w:lvl>
    <w:lvl w:ilvl="8" w:tplc="592ED114" w:tentative="1">
      <w:start w:val="1"/>
      <w:numFmt w:val="lowerRoman"/>
      <w:lvlText w:val="%9."/>
      <w:lvlJc w:val="right"/>
      <w:pPr>
        <w:tabs>
          <w:tab w:val="num" w:pos="6480"/>
        </w:tabs>
        <w:ind w:left="6480" w:right="6480" w:hanging="180"/>
      </w:pPr>
    </w:lvl>
  </w:abstractNum>
  <w:abstractNum w:abstractNumId="5" w15:restartNumberingAfterBreak="0">
    <w:nsid w:val="31831E55"/>
    <w:multiLevelType w:val="hybridMultilevel"/>
    <w:tmpl w:val="5E601672"/>
    <w:lvl w:ilvl="0" w:tplc="04090013">
      <w:start w:val="1"/>
      <w:numFmt w:val="hebrew1"/>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6BF0DB3"/>
    <w:multiLevelType w:val="multilevel"/>
    <w:tmpl w:val="0E66DBD2"/>
    <w:lvl w:ilvl="0">
      <w:start w:val="1"/>
      <w:numFmt w:val="decimal"/>
      <w:pStyle w:val="11"/>
      <w:lvlText w:val="%1."/>
      <w:lvlJc w:val="left"/>
      <w:pPr>
        <w:tabs>
          <w:tab w:val="num" w:pos="720"/>
        </w:tabs>
        <w:ind w:left="720" w:hanging="720"/>
      </w:pPr>
    </w:lvl>
    <w:lvl w:ilvl="1">
      <w:start w:val="1"/>
      <w:numFmt w:val="hebrew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hebrew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06D03AE"/>
    <w:multiLevelType w:val="hybridMultilevel"/>
    <w:tmpl w:val="9C864CDA"/>
    <w:lvl w:ilvl="0" w:tplc="3EF49242">
      <w:start w:val="1"/>
      <w:numFmt w:val="decimal"/>
      <w:lvlText w:val="%1."/>
      <w:lvlJc w:val="left"/>
      <w:pPr>
        <w:ind w:left="20" w:hanging="360"/>
      </w:pPr>
    </w:lvl>
    <w:lvl w:ilvl="1" w:tplc="04090019">
      <w:start w:val="1"/>
      <w:numFmt w:val="lowerLetter"/>
      <w:lvlText w:val="%2."/>
      <w:lvlJc w:val="left"/>
      <w:pPr>
        <w:ind w:left="740" w:hanging="360"/>
      </w:pPr>
    </w:lvl>
    <w:lvl w:ilvl="2" w:tplc="0409001B">
      <w:start w:val="1"/>
      <w:numFmt w:val="lowerRoman"/>
      <w:lvlText w:val="%3."/>
      <w:lvlJc w:val="right"/>
      <w:pPr>
        <w:ind w:left="1460" w:hanging="180"/>
      </w:pPr>
    </w:lvl>
    <w:lvl w:ilvl="3" w:tplc="0409000F">
      <w:start w:val="1"/>
      <w:numFmt w:val="decimal"/>
      <w:lvlText w:val="%4."/>
      <w:lvlJc w:val="left"/>
      <w:pPr>
        <w:ind w:left="2180" w:hanging="360"/>
      </w:pPr>
    </w:lvl>
    <w:lvl w:ilvl="4" w:tplc="04090019">
      <w:start w:val="1"/>
      <w:numFmt w:val="lowerLetter"/>
      <w:lvlText w:val="%5."/>
      <w:lvlJc w:val="left"/>
      <w:pPr>
        <w:ind w:left="2900" w:hanging="360"/>
      </w:pPr>
    </w:lvl>
    <w:lvl w:ilvl="5" w:tplc="0409001B">
      <w:start w:val="1"/>
      <w:numFmt w:val="lowerRoman"/>
      <w:lvlText w:val="%6."/>
      <w:lvlJc w:val="right"/>
      <w:pPr>
        <w:ind w:left="3620" w:hanging="180"/>
      </w:pPr>
    </w:lvl>
    <w:lvl w:ilvl="6" w:tplc="0409000F">
      <w:start w:val="1"/>
      <w:numFmt w:val="decimal"/>
      <w:lvlText w:val="%7."/>
      <w:lvlJc w:val="left"/>
      <w:pPr>
        <w:ind w:left="4340" w:hanging="360"/>
      </w:pPr>
    </w:lvl>
    <w:lvl w:ilvl="7" w:tplc="04090019">
      <w:start w:val="1"/>
      <w:numFmt w:val="lowerLetter"/>
      <w:lvlText w:val="%8."/>
      <w:lvlJc w:val="left"/>
      <w:pPr>
        <w:ind w:left="5060" w:hanging="360"/>
      </w:pPr>
    </w:lvl>
    <w:lvl w:ilvl="8" w:tplc="0409001B">
      <w:start w:val="1"/>
      <w:numFmt w:val="lowerRoman"/>
      <w:lvlText w:val="%9."/>
      <w:lvlJc w:val="right"/>
      <w:pPr>
        <w:ind w:left="5780" w:hanging="180"/>
      </w:pPr>
    </w:lvl>
  </w:abstractNum>
  <w:abstractNum w:abstractNumId="8" w15:restartNumberingAfterBreak="0">
    <w:nsid w:val="61247732"/>
    <w:multiLevelType w:val="multilevel"/>
    <w:tmpl w:val="C024A742"/>
    <w:lvl w:ilvl="0">
      <w:start w:val="1"/>
      <w:numFmt w:val="hebrew1"/>
      <w:pStyle w:val="1"/>
      <w:lvlText w:val="%1."/>
      <w:lvlJc w:val="left"/>
      <w:pPr>
        <w:tabs>
          <w:tab w:val="num" w:pos="397"/>
        </w:tabs>
        <w:ind w:left="397" w:hanging="397"/>
      </w:pPr>
      <w:rPr>
        <w:rFonts w:hint="default"/>
      </w:rPr>
    </w:lvl>
    <w:lvl w:ilvl="1">
      <w:start w:val="1"/>
      <w:numFmt w:val="decimal"/>
      <w:lvlText w:val="(%2)"/>
      <w:lvlJc w:val="left"/>
      <w:pPr>
        <w:tabs>
          <w:tab w:val="num" w:pos="794"/>
        </w:tabs>
        <w:ind w:left="794" w:hanging="397"/>
      </w:pPr>
      <w:rPr>
        <w:rFonts w:hint="default"/>
      </w:rPr>
    </w:lvl>
    <w:lvl w:ilvl="2">
      <w:start w:val="1"/>
      <w:numFmt w:val="hebrew1"/>
      <w:lvlText w:val="(%3)"/>
      <w:lvlJc w:val="left"/>
      <w:pPr>
        <w:tabs>
          <w:tab w:val="num" w:pos="1361"/>
        </w:tabs>
        <w:ind w:left="1191" w:hanging="397"/>
      </w:pPr>
      <w:rPr>
        <w:rFonts w:hint="default"/>
      </w:rPr>
    </w:lvl>
    <w:lvl w:ilvl="3">
      <w:start w:val="1"/>
      <w:numFmt w:val="decimal"/>
      <w:lvlText w:val="(%4)"/>
      <w:lvlJc w:val="left"/>
      <w:pPr>
        <w:tabs>
          <w:tab w:val="num" w:pos="1758"/>
        </w:tabs>
        <w:ind w:left="1588" w:hanging="397"/>
      </w:pPr>
      <w:rPr>
        <w:rFonts w:hint="default"/>
      </w:rPr>
    </w:lvl>
    <w:lvl w:ilvl="4">
      <w:start w:val="1"/>
      <w:numFmt w:val="decimal"/>
      <w:lvlText w:val="(%3)%4.%5."/>
      <w:lvlJc w:val="left"/>
      <w:pPr>
        <w:tabs>
          <w:tab w:val="num" w:pos="1928"/>
        </w:tabs>
        <w:ind w:left="1985" w:hanging="397"/>
      </w:pPr>
      <w:rPr>
        <w:rFonts w:hint="default"/>
      </w:rPr>
    </w:lvl>
    <w:lvl w:ilvl="5">
      <w:start w:val="1"/>
      <w:numFmt w:val="decimal"/>
      <w:lvlText w:val="(%3)%4.%5.%6."/>
      <w:lvlJc w:val="left"/>
      <w:pPr>
        <w:tabs>
          <w:tab w:val="num" w:pos="2325"/>
        </w:tabs>
        <w:ind w:left="2382" w:hanging="397"/>
      </w:pPr>
      <w:rPr>
        <w:rFonts w:hint="default"/>
      </w:rPr>
    </w:lvl>
    <w:lvl w:ilvl="6">
      <w:start w:val="1"/>
      <w:numFmt w:val="decimal"/>
      <w:lvlText w:val="(%3)%4.%5.%6.%7."/>
      <w:lvlJc w:val="left"/>
      <w:pPr>
        <w:tabs>
          <w:tab w:val="num" w:pos="2722"/>
        </w:tabs>
        <w:ind w:left="2779" w:hanging="397"/>
      </w:pPr>
      <w:rPr>
        <w:rFonts w:hint="default"/>
      </w:rPr>
    </w:lvl>
    <w:lvl w:ilvl="7">
      <w:start w:val="1"/>
      <w:numFmt w:val="decimal"/>
      <w:lvlText w:val="(%3)%4.%5.%6.%7.%8."/>
      <w:lvlJc w:val="left"/>
      <w:pPr>
        <w:tabs>
          <w:tab w:val="num" w:pos="3119"/>
        </w:tabs>
        <w:ind w:left="3176" w:hanging="397"/>
      </w:pPr>
      <w:rPr>
        <w:rFonts w:hint="default"/>
      </w:rPr>
    </w:lvl>
    <w:lvl w:ilvl="8">
      <w:start w:val="1"/>
      <w:numFmt w:val="decimal"/>
      <w:lvlText w:val="(%3)%4.%5.%6.%7.%8.%9."/>
      <w:lvlJc w:val="left"/>
      <w:pPr>
        <w:tabs>
          <w:tab w:val="num" w:pos="3516"/>
        </w:tabs>
        <w:ind w:left="3573" w:hanging="397"/>
      </w:pPr>
      <w:rPr>
        <w:rFonts w:hint="default"/>
      </w:rPr>
    </w:lvl>
  </w:abstractNum>
  <w:abstractNum w:abstractNumId="9" w15:restartNumberingAfterBreak="0">
    <w:nsid w:val="664D5B8B"/>
    <w:multiLevelType w:val="hybridMultilevel"/>
    <w:tmpl w:val="FB78DD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7E510DF"/>
    <w:multiLevelType w:val="multilevel"/>
    <w:tmpl w:val="B29E0AE8"/>
    <w:lvl w:ilvl="0">
      <w:start w:val="1"/>
      <w:numFmt w:val="hebrew1"/>
      <w:pStyle w:val="a0"/>
      <w:lvlText w:val="%1."/>
      <w:lvlJc w:val="left"/>
      <w:pPr>
        <w:tabs>
          <w:tab w:val="num" w:pos="360"/>
        </w:tabs>
        <w:ind w:left="360" w:hanging="360"/>
      </w:pPr>
      <w:rPr>
        <w:rFonts w:cs="Narkisim" w:hint="cs"/>
        <w:bCs/>
        <w:iCs w:val="0"/>
        <w:szCs w:val="24"/>
      </w:rPr>
    </w:lvl>
    <w:lvl w:ilvl="1">
      <w:start w:val="1"/>
      <w:numFmt w:val="hebrew1"/>
      <w:pStyle w:val="a1"/>
      <w:lvlText w:val="%2."/>
      <w:lvlJc w:val="left"/>
      <w:pPr>
        <w:tabs>
          <w:tab w:val="num" w:pos="794"/>
        </w:tabs>
        <w:ind w:left="397" w:hanging="397"/>
      </w:pPr>
      <w:rPr>
        <w:rFonts w:cs="Narkisim" w:hint="cs"/>
        <w:bCs/>
        <w:iCs w:val="0"/>
        <w:szCs w:val="24"/>
      </w:rPr>
    </w:lvl>
    <w:lvl w:ilvl="2">
      <w:start w:val="1"/>
      <w:numFmt w:val="decimal"/>
      <w:pStyle w:val="10"/>
      <w:lvlText w:val="(%3)"/>
      <w:lvlJc w:val="left"/>
      <w:pPr>
        <w:tabs>
          <w:tab w:val="num" w:pos="397"/>
        </w:tabs>
        <w:ind w:left="0" w:firstLine="0"/>
      </w:pPr>
      <w:rPr>
        <w:rFonts w:cs="Narkisim" w:hint="cs"/>
        <w:bCs/>
        <w:i/>
        <w:iCs w:val="0"/>
        <w:szCs w:val="22"/>
      </w:rPr>
    </w:lvl>
    <w:lvl w:ilvl="3">
      <w:start w:val="1"/>
      <w:numFmt w:val="hebrew1"/>
      <w:pStyle w:val="a2"/>
      <w:lvlText w:val="(%4)"/>
      <w:lvlJc w:val="left"/>
      <w:pPr>
        <w:tabs>
          <w:tab w:val="num" w:pos="397"/>
        </w:tabs>
        <w:ind w:left="0" w:firstLine="0"/>
      </w:pPr>
      <w:rPr>
        <w:rFonts w:hint="default"/>
        <w:bCs w:val="0"/>
        <w:iCs w:val="0"/>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69B6346A"/>
    <w:multiLevelType w:val="hybridMultilevel"/>
    <w:tmpl w:val="7C70491A"/>
    <w:lvl w:ilvl="0" w:tplc="FA7E540A">
      <w:start w:val="1"/>
      <w:numFmt w:val="hebrew1"/>
      <w:lvlText w:val="%1)"/>
      <w:lvlJc w:val="left"/>
      <w:pPr>
        <w:ind w:left="309" w:hanging="360"/>
      </w:pPr>
    </w:lvl>
    <w:lvl w:ilvl="1" w:tplc="04090019">
      <w:start w:val="1"/>
      <w:numFmt w:val="lowerLetter"/>
      <w:lvlText w:val="%2."/>
      <w:lvlJc w:val="left"/>
      <w:pPr>
        <w:ind w:left="1029" w:hanging="360"/>
      </w:pPr>
    </w:lvl>
    <w:lvl w:ilvl="2" w:tplc="0409001B">
      <w:start w:val="1"/>
      <w:numFmt w:val="lowerRoman"/>
      <w:lvlText w:val="%3."/>
      <w:lvlJc w:val="right"/>
      <w:pPr>
        <w:ind w:left="1749" w:hanging="180"/>
      </w:pPr>
    </w:lvl>
    <w:lvl w:ilvl="3" w:tplc="0409000F">
      <w:start w:val="1"/>
      <w:numFmt w:val="decimal"/>
      <w:lvlText w:val="%4."/>
      <w:lvlJc w:val="left"/>
      <w:pPr>
        <w:ind w:left="2469" w:hanging="360"/>
      </w:pPr>
    </w:lvl>
    <w:lvl w:ilvl="4" w:tplc="04090019">
      <w:start w:val="1"/>
      <w:numFmt w:val="lowerLetter"/>
      <w:lvlText w:val="%5."/>
      <w:lvlJc w:val="left"/>
      <w:pPr>
        <w:ind w:left="3189" w:hanging="360"/>
      </w:pPr>
    </w:lvl>
    <w:lvl w:ilvl="5" w:tplc="0409001B">
      <w:start w:val="1"/>
      <w:numFmt w:val="lowerRoman"/>
      <w:lvlText w:val="%6."/>
      <w:lvlJc w:val="right"/>
      <w:pPr>
        <w:ind w:left="3909" w:hanging="180"/>
      </w:pPr>
    </w:lvl>
    <w:lvl w:ilvl="6" w:tplc="0409000F">
      <w:start w:val="1"/>
      <w:numFmt w:val="decimal"/>
      <w:lvlText w:val="%7."/>
      <w:lvlJc w:val="left"/>
      <w:pPr>
        <w:ind w:left="4629" w:hanging="360"/>
      </w:pPr>
    </w:lvl>
    <w:lvl w:ilvl="7" w:tplc="04090019">
      <w:start w:val="1"/>
      <w:numFmt w:val="lowerLetter"/>
      <w:lvlText w:val="%8."/>
      <w:lvlJc w:val="left"/>
      <w:pPr>
        <w:ind w:left="5349" w:hanging="360"/>
      </w:pPr>
    </w:lvl>
    <w:lvl w:ilvl="8" w:tplc="0409001B">
      <w:start w:val="1"/>
      <w:numFmt w:val="lowerRoman"/>
      <w:lvlText w:val="%9."/>
      <w:lvlJc w:val="right"/>
      <w:pPr>
        <w:ind w:left="6069" w:hanging="180"/>
      </w:pPr>
    </w:lvl>
  </w:abstractNum>
  <w:abstractNum w:abstractNumId="12" w15:restartNumberingAfterBreak="0">
    <w:nsid w:val="6BD358BF"/>
    <w:multiLevelType w:val="hybridMultilevel"/>
    <w:tmpl w:val="B4AEF068"/>
    <w:lvl w:ilvl="0" w:tplc="04090003">
      <w:start w:val="1"/>
      <w:numFmt w:val="bullet"/>
      <w:lvlText w:val="o"/>
      <w:lvlJc w:val="left"/>
      <w:pPr>
        <w:ind w:left="379" w:hanging="360"/>
      </w:pPr>
      <w:rPr>
        <w:rFonts w:ascii="Courier New" w:hAnsi="Courier New" w:cs="Courier New"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13" w15:restartNumberingAfterBreak="0">
    <w:nsid w:val="6CB11A54"/>
    <w:multiLevelType w:val="hybridMultilevel"/>
    <w:tmpl w:val="F88EE728"/>
    <w:lvl w:ilvl="0" w:tplc="A72E027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B302D42"/>
    <w:multiLevelType w:val="hybridMultilevel"/>
    <w:tmpl w:val="AF840FF4"/>
    <w:lvl w:ilvl="0" w:tplc="67F0BD3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771782956">
    <w:abstractNumId w:val="8"/>
  </w:num>
  <w:num w:numId="2" w16cid:durableId="1360011576">
    <w:abstractNumId w:val="10"/>
  </w:num>
  <w:num w:numId="3" w16cid:durableId="1530217452">
    <w:abstractNumId w:val="6"/>
    <w:lvlOverride w:ilvl="0">
      <w:lvl w:ilvl="0">
        <w:start w:val="1"/>
        <w:numFmt w:val="decimal"/>
        <w:pStyle w:val="11"/>
        <w:lvlText w:val="%1."/>
        <w:lvlJc w:val="left"/>
        <w:pPr>
          <w:tabs>
            <w:tab w:val="num" w:pos="397"/>
          </w:tabs>
          <w:ind w:left="397" w:hanging="397"/>
        </w:pPr>
        <w:rPr>
          <w:rFonts w:hint="default"/>
        </w:rPr>
      </w:lvl>
    </w:lvlOverride>
    <w:lvlOverride w:ilvl="1">
      <w:lvl w:ilvl="1">
        <w:start w:val="1"/>
        <w:numFmt w:val="hebrew1"/>
        <w:lvlText w:val="(%2)"/>
        <w:lvlJc w:val="left"/>
        <w:pPr>
          <w:tabs>
            <w:tab w:val="num" w:pos="964"/>
          </w:tabs>
          <w:ind w:left="794" w:hanging="397"/>
        </w:pPr>
        <w:rPr>
          <w:rFonts w:hint="default"/>
        </w:rPr>
      </w:lvl>
    </w:lvlOverride>
    <w:lvlOverride w:ilvl="2">
      <w:lvl w:ilvl="2">
        <w:start w:val="1"/>
        <w:numFmt w:val="decimal"/>
        <w:lvlText w:val="(%3)"/>
        <w:lvlJc w:val="left"/>
        <w:pPr>
          <w:tabs>
            <w:tab w:val="num" w:pos="1361"/>
          </w:tabs>
          <w:ind w:left="1191" w:hanging="397"/>
        </w:pPr>
        <w:rPr>
          <w:rFonts w:hint="default"/>
        </w:rPr>
      </w:lvl>
    </w:lvlOverride>
    <w:lvlOverride w:ilvl="3">
      <w:lvl w:ilvl="3">
        <w:start w:val="1"/>
        <w:numFmt w:val="hebrew1"/>
        <w:lvlText w:val="(%4)"/>
        <w:lvlJc w:val="left"/>
        <w:pPr>
          <w:tabs>
            <w:tab w:val="num" w:pos="1758"/>
          </w:tabs>
          <w:ind w:left="1588" w:hanging="397"/>
        </w:pPr>
        <w:rPr>
          <w:rFonts w:hint="default"/>
        </w:rPr>
      </w:lvl>
    </w:lvlOverride>
    <w:lvlOverride w:ilvl="4">
      <w:lvl w:ilvl="4">
        <w:start w:val="1"/>
        <w:numFmt w:val="decimal"/>
        <w:lvlText w:val="%5."/>
        <w:lvlJc w:val="left"/>
        <w:pPr>
          <w:tabs>
            <w:tab w:val="num" w:pos="2155"/>
          </w:tabs>
          <w:ind w:left="1985" w:hanging="397"/>
        </w:pPr>
        <w:rPr>
          <w:rFonts w:hint="default"/>
        </w:rPr>
      </w:lvl>
    </w:lvlOverride>
    <w:lvlOverride w:ilvl="5">
      <w:lvl w:ilvl="5">
        <w:start w:val="1"/>
        <w:numFmt w:val="decimal"/>
        <w:lvlText w:val="%6."/>
        <w:lvlJc w:val="left"/>
        <w:pPr>
          <w:tabs>
            <w:tab w:val="num" w:pos="2552"/>
          </w:tabs>
          <w:ind w:left="2382" w:hanging="397"/>
        </w:pPr>
        <w:rPr>
          <w:rFonts w:hint="default"/>
        </w:rPr>
      </w:lvl>
    </w:lvlOverride>
    <w:lvlOverride w:ilvl="6">
      <w:lvl w:ilvl="6">
        <w:start w:val="1"/>
        <w:numFmt w:val="decimal"/>
        <w:lvlText w:val="%7."/>
        <w:lvlJc w:val="left"/>
        <w:pPr>
          <w:tabs>
            <w:tab w:val="num" w:pos="2949"/>
          </w:tabs>
          <w:ind w:left="2779" w:hanging="397"/>
        </w:pPr>
        <w:rPr>
          <w:rFonts w:hint="default"/>
        </w:rPr>
      </w:lvl>
    </w:lvlOverride>
    <w:lvlOverride w:ilvl="7">
      <w:lvl w:ilvl="7">
        <w:start w:val="1"/>
        <w:numFmt w:val="decimal"/>
        <w:lvlText w:val="%8."/>
        <w:lvlJc w:val="left"/>
        <w:pPr>
          <w:tabs>
            <w:tab w:val="num" w:pos="3346"/>
          </w:tabs>
          <w:ind w:left="3176" w:hanging="397"/>
        </w:pPr>
        <w:rPr>
          <w:rFonts w:hint="default"/>
        </w:rPr>
      </w:lvl>
    </w:lvlOverride>
    <w:lvlOverride w:ilvl="8">
      <w:lvl w:ilvl="8">
        <w:start w:val="1"/>
        <w:numFmt w:val="decimal"/>
        <w:lvlText w:val="%9."/>
        <w:lvlJc w:val="left"/>
        <w:pPr>
          <w:tabs>
            <w:tab w:val="num" w:pos="3743"/>
          </w:tabs>
          <w:ind w:left="3573" w:hanging="397"/>
        </w:pPr>
        <w:rPr>
          <w:rFonts w:hint="default"/>
        </w:rPr>
      </w:lvl>
    </w:lvlOverride>
  </w:num>
  <w:num w:numId="4" w16cid:durableId="17652249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41032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1762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1822986">
    <w:abstractNumId w:val="6"/>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8" w16cid:durableId="971909743">
    <w:abstractNumId w:val="6"/>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9" w16cid:durableId="208658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9563212">
    <w:abstractNumId w:val="6"/>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11" w16cid:durableId="3165408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867004">
    <w:abstractNumId w:val="3"/>
  </w:num>
  <w:num w:numId="13" w16cid:durableId="1963538151">
    <w:abstractNumId w:val="10"/>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cs="Narkisim" w:hint="cs"/>
          <w:bCs/>
          <w:iCs/>
          <w:szCs w:val="18"/>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16cid:durableId="419956898">
    <w:abstractNumId w:val="10"/>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hint="default"/>
          <w:bCs w:val="0"/>
          <w:iCs/>
          <w:szCs w:val="22"/>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5" w16cid:durableId="1319529294">
    <w:abstractNumId w:val="4"/>
  </w:num>
  <w:num w:numId="16" w16cid:durableId="161631335">
    <w:abstractNumId w:val="0"/>
  </w:num>
  <w:num w:numId="17" w16cid:durableId="1592010277">
    <w:abstractNumId w:val="2"/>
  </w:num>
  <w:num w:numId="18" w16cid:durableId="2052629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1982865">
    <w:abstractNumId w:val="5"/>
  </w:num>
  <w:num w:numId="20" w16cid:durableId="18034262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08123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8336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39645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3170079">
    <w:abstractNumId w:val="1"/>
  </w:num>
  <w:num w:numId="25" w16cid:durableId="7225568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CFB"/>
    <w:rsid w:val="00006421"/>
    <w:rsid w:val="00007AAC"/>
    <w:rsid w:val="00047688"/>
    <w:rsid w:val="000503D0"/>
    <w:rsid w:val="000C6ECB"/>
    <w:rsid w:val="000E0573"/>
    <w:rsid w:val="000F3D3C"/>
    <w:rsid w:val="000F6784"/>
    <w:rsid w:val="001410CD"/>
    <w:rsid w:val="00141834"/>
    <w:rsid w:val="001463AE"/>
    <w:rsid w:val="0017301A"/>
    <w:rsid w:val="001A042C"/>
    <w:rsid w:val="001C1281"/>
    <w:rsid w:val="001D1878"/>
    <w:rsid w:val="001E35DA"/>
    <w:rsid w:val="001F3BB4"/>
    <w:rsid w:val="00204DAE"/>
    <w:rsid w:val="0026102F"/>
    <w:rsid w:val="002A5312"/>
    <w:rsid w:val="002F6A54"/>
    <w:rsid w:val="00305BB2"/>
    <w:rsid w:val="00331442"/>
    <w:rsid w:val="00336118"/>
    <w:rsid w:val="003772D4"/>
    <w:rsid w:val="003832F1"/>
    <w:rsid w:val="00387082"/>
    <w:rsid w:val="003B2EE9"/>
    <w:rsid w:val="003D0A52"/>
    <w:rsid w:val="003D12F4"/>
    <w:rsid w:val="003E6E03"/>
    <w:rsid w:val="00403D72"/>
    <w:rsid w:val="00444DC3"/>
    <w:rsid w:val="00445DE0"/>
    <w:rsid w:val="00460F4E"/>
    <w:rsid w:val="00473811"/>
    <w:rsid w:val="00477B31"/>
    <w:rsid w:val="00482C8E"/>
    <w:rsid w:val="00493D5A"/>
    <w:rsid w:val="004A70E1"/>
    <w:rsid w:val="004B2706"/>
    <w:rsid w:val="004B71CD"/>
    <w:rsid w:val="004D5C89"/>
    <w:rsid w:val="004D747B"/>
    <w:rsid w:val="004E46AC"/>
    <w:rsid w:val="0051147D"/>
    <w:rsid w:val="00542D5D"/>
    <w:rsid w:val="005452D2"/>
    <w:rsid w:val="00547007"/>
    <w:rsid w:val="005605C5"/>
    <w:rsid w:val="00564836"/>
    <w:rsid w:val="00582096"/>
    <w:rsid w:val="006040E7"/>
    <w:rsid w:val="006107D4"/>
    <w:rsid w:val="00621046"/>
    <w:rsid w:val="00644E42"/>
    <w:rsid w:val="0065626D"/>
    <w:rsid w:val="00661492"/>
    <w:rsid w:val="00670A3C"/>
    <w:rsid w:val="006B66A4"/>
    <w:rsid w:val="006D2102"/>
    <w:rsid w:val="006E7140"/>
    <w:rsid w:val="006E7815"/>
    <w:rsid w:val="00716B42"/>
    <w:rsid w:val="00731C54"/>
    <w:rsid w:val="0075572F"/>
    <w:rsid w:val="007A0A66"/>
    <w:rsid w:val="007A5E21"/>
    <w:rsid w:val="007B25A9"/>
    <w:rsid w:val="007C0B59"/>
    <w:rsid w:val="007E77A4"/>
    <w:rsid w:val="007F0CFB"/>
    <w:rsid w:val="00806974"/>
    <w:rsid w:val="00823169"/>
    <w:rsid w:val="008429F3"/>
    <w:rsid w:val="00845771"/>
    <w:rsid w:val="008612C3"/>
    <w:rsid w:val="008807C9"/>
    <w:rsid w:val="00883EAA"/>
    <w:rsid w:val="008A683B"/>
    <w:rsid w:val="008E5955"/>
    <w:rsid w:val="009403D8"/>
    <w:rsid w:val="009428C0"/>
    <w:rsid w:val="009679A7"/>
    <w:rsid w:val="009B7441"/>
    <w:rsid w:val="009D23D6"/>
    <w:rsid w:val="009F2662"/>
    <w:rsid w:val="00A15740"/>
    <w:rsid w:val="00A165F5"/>
    <w:rsid w:val="00AC3C3B"/>
    <w:rsid w:val="00AD7975"/>
    <w:rsid w:val="00AE0944"/>
    <w:rsid w:val="00AF7330"/>
    <w:rsid w:val="00B10D23"/>
    <w:rsid w:val="00B34262"/>
    <w:rsid w:val="00B629CF"/>
    <w:rsid w:val="00B91EE4"/>
    <w:rsid w:val="00BB7B01"/>
    <w:rsid w:val="00BC1FF3"/>
    <w:rsid w:val="00BC2954"/>
    <w:rsid w:val="00BD18F7"/>
    <w:rsid w:val="00BE09F6"/>
    <w:rsid w:val="00BF58F9"/>
    <w:rsid w:val="00BF7C9F"/>
    <w:rsid w:val="00C07E82"/>
    <w:rsid w:val="00C17BEA"/>
    <w:rsid w:val="00C426B1"/>
    <w:rsid w:val="00C61598"/>
    <w:rsid w:val="00C85A9B"/>
    <w:rsid w:val="00C8609C"/>
    <w:rsid w:val="00C957FA"/>
    <w:rsid w:val="00CA5144"/>
    <w:rsid w:val="00CB4524"/>
    <w:rsid w:val="00CD3C23"/>
    <w:rsid w:val="00CD70E7"/>
    <w:rsid w:val="00CE18E3"/>
    <w:rsid w:val="00D01A98"/>
    <w:rsid w:val="00D1058F"/>
    <w:rsid w:val="00D2270C"/>
    <w:rsid w:val="00D362E5"/>
    <w:rsid w:val="00D41648"/>
    <w:rsid w:val="00D77F78"/>
    <w:rsid w:val="00D93CE5"/>
    <w:rsid w:val="00DA2C8B"/>
    <w:rsid w:val="00DB7CB8"/>
    <w:rsid w:val="00DE152D"/>
    <w:rsid w:val="00DE7442"/>
    <w:rsid w:val="00DF366C"/>
    <w:rsid w:val="00DF57C1"/>
    <w:rsid w:val="00E104C3"/>
    <w:rsid w:val="00E2756A"/>
    <w:rsid w:val="00E3002C"/>
    <w:rsid w:val="00E311D4"/>
    <w:rsid w:val="00E42789"/>
    <w:rsid w:val="00E478DE"/>
    <w:rsid w:val="00E74940"/>
    <w:rsid w:val="00EA0A6F"/>
    <w:rsid w:val="00EB36FE"/>
    <w:rsid w:val="00ED0D18"/>
    <w:rsid w:val="00ED4071"/>
    <w:rsid w:val="00ED540D"/>
    <w:rsid w:val="00EE1DB1"/>
    <w:rsid w:val="00F01359"/>
    <w:rsid w:val="00F24957"/>
    <w:rsid w:val="00F4312B"/>
    <w:rsid w:val="00F56183"/>
    <w:rsid w:val="00F679D3"/>
    <w:rsid w:val="00F87894"/>
    <w:rsid w:val="00FA1A5E"/>
    <w:rsid w:val="00FA1DAB"/>
    <w:rsid w:val="00FB09BF"/>
    <w:rsid w:val="00FC2886"/>
    <w:rsid w:val="00FD7825"/>
    <w:rsid w:val="00FF1CAC"/>
    <w:rsid w:val="00FF7C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91E17"/>
  <w15:docId w15:val="{0B74DE80-D674-4B8F-8ECA-31AE8456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Miriam"/>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26D"/>
    <w:pPr>
      <w:bidi/>
      <w:jc w:val="both"/>
    </w:pPr>
    <w:rPr>
      <w:rFonts w:cs="FrankRuehl"/>
      <w:sz w:val="22"/>
      <w:szCs w:val="28"/>
    </w:rPr>
  </w:style>
  <w:style w:type="paragraph" w:styleId="Heading2">
    <w:name w:val="heading 2"/>
    <w:basedOn w:val="Normal"/>
    <w:link w:val="Heading2Char"/>
    <w:uiPriority w:val="9"/>
    <w:qFormat/>
    <w:rsid w:val="001F3BB4"/>
    <w:pPr>
      <w:bidi w:val="0"/>
      <w:spacing w:before="100" w:beforeAutospacing="1" w:after="100" w:afterAutospacing="1"/>
      <w:jc w:val="left"/>
      <w:outlineLvl w:val="1"/>
    </w:pPr>
    <w:rPr>
      <w:rFonts w:eastAsia="Times New Roman" w:cs="Times New Roman"/>
      <w:b/>
      <w:bCs/>
      <w:sz w:val="50"/>
      <w:szCs w:val="50"/>
    </w:rPr>
  </w:style>
  <w:style w:type="paragraph" w:styleId="Heading5">
    <w:name w:val="heading 5"/>
    <w:basedOn w:val="Normal"/>
    <w:next w:val="Normal"/>
    <w:link w:val="Heading5Char"/>
    <w:uiPriority w:val="9"/>
    <w:semiHidden/>
    <w:unhideWhenUsed/>
    <w:qFormat/>
    <w:rsid w:val="00E2756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E2756A"/>
    <w:rPr>
      <w:rFonts w:asciiTheme="majorHAnsi" w:eastAsiaTheme="majorEastAsia" w:hAnsiTheme="majorHAnsi" w:cstheme="majorBidi"/>
      <w:color w:val="243F60" w:themeColor="accent1" w:themeShade="7F"/>
      <w:sz w:val="22"/>
      <w:szCs w:val="28"/>
    </w:rPr>
  </w:style>
  <w:style w:type="paragraph" w:styleId="FootnoteText">
    <w:name w:val="footnote text"/>
    <w:basedOn w:val="Normal"/>
    <w:link w:val="FootnoteTextChar"/>
    <w:semiHidden/>
    <w:unhideWhenUsed/>
    <w:rsid w:val="00E2756A"/>
    <w:pPr>
      <w:tabs>
        <w:tab w:val="left" w:pos="284"/>
      </w:tabs>
      <w:spacing w:before="40" w:after="40" w:line="276" w:lineRule="auto"/>
      <w:ind w:left="284" w:hanging="284"/>
    </w:pPr>
    <w:rPr>
      <w:rFonts w:eastAsia="Times New Roman"/>
      <w:sz w:val="18"/>
      <w:szCs w:val="24"/>
      <w:lang w:eastAsia="he-IL"/>
    </w:rPr>
  </w:style>
  <w:style w:type="character" w:customStyle="1" w:styleId="FootnoteTextChar">
    <w:name w:val="Footnote Text Char"/>
    <w:basedOn w:val="DefaultParagraphFont"/>
    <w:link w:val="FootnoteText"/>
    <w:semiHidden/>
    <w:rsid w:val="00E2756A"/>
    <w:rPr>
      <w:rFonts w:eastAsia="Times New Roman" w:cs="FrankRuehl"/>
      <w:sz w:val="18"/>
      <w:szCs w:val="24"/>
      <w:lang w:eastAsia="he-IL"/>
    </w:rPr>
  </w:style>
  <w:style w:type="paragraph" w:styleId="ListParagraph">
    <w:name w:val="List Paragraph"/>
    <w:basedOn w:val="Normal"/>
    <w:uiPriority w:val="34"/>
    <w:qFormat/>
    <w:rsid w:val="00E2756A"/>
    <w:pPr>
      <w:spacing w:line="276" w:lineRule="auto"/>
      <w:ind w:left="720"/>
      <w:contextualSpacing/>
    </w:pPr>
  </w:style>
  <w:style w:type="paragraph" w:styleId="Quote">
    <w:name w:val="Quote"/>
    <w:basedOn w:val="Normal"/>
    <w:link w:val="QuoteChar"/>
    <w:uiPriority w:val="29"/>
    <w:qFormat/>
    <w:rsid w:val="00E2756A"/>
    <w:pPr>
      <w:snapToGrid w:val="0"/>
      <w:spacing w:after="120"/>
      <w:ind w:left="851" w:right="851"/>
    </w:pPr>
    <w:rPr>
      <w:rFonts w:eastAsia="Calibri"/>
      <w:i/>
      <w:color w:val="000000" w:themeColor="text1"/>
      <w:kern w:val="28"/>
    </w:rPr>
  </w:style>
  <w:style w:type="character" w:customStyle="1" w:styleId="QuoteChar">
    <w:name w:val="Quote Char"/>
    <w:basedOn w:val="DefaultParagraphFont"/>
    <w:link w:val="Quote"/>
    <w:uiPriority w:val="29"/>
    <w:rsid w:val="00E2756A"/>
    <w:rPr>
      <w:rFonts w:eastAsia="Calibri" w:cs="FrankRuehl"/>
      <w:i/>
      <w:color w:val="000000" w:themeColor="text1"/>
      <w:kern w:val="28"/>
      <w:sz w:val="22"/>
      <w:szCs w:val="28"/>
    </w:rPr>
  </w:style>
  <w:style w:type="paragraph" w:customStyle="1" w:styleId="a3">
    <w:name w:val="פרטי תיק פס''ד"/>
    <w:basedOn w:val="Normal"/>
    <w:qFormat/>
    <w:rsid w:val="00E2756A"/>
    <w:pPr>
      <w:spacing w:line="360" w:lineRule="auto"/>
    </w:pPr>
    <w:rPr>
      <w:rFonts w:cs="David"/>
      <w:b/>
      <w:bCs/>
      <w:sz w:val="24"/>
      <w:szCs w:val="24"/>
    </w:rPr>
  </w:style>
  <w:style w:type="character" w:customStyle="1" w:styleId="a4">
    <w:name w:val="פסקת פתיחה תו"/>
    <w:link w:val="a5"/>
    <w:locked/>
    <w:rsid w:val="00DA2C8B"/>
    <w:rPr>
      <w:rFonts w:eastAsia="Times New Roman" w:cs="FrankRuehl"/>
      <w:sz w:val="28"/>
      <w:szCs w:val="28"/>
      <w:lang w:eastAsia="he-IL"/>
    </w:rPr>
  </w:style>
  <w:style w:type="paragraph" w:customStyle="1" w:styleId="a6">
    <w:name w:val="פסקה רגילה"/>
    <w:basedOn w:val="Normal"/>
    <w:link w:val="a7"/>
    <w:qFormat/>
    <w:rsid w:val="00E2756A"/>
    <w:pPr>
      <w:snapToGrid w:val="0"/>
      <w:spacing w:after="120" w:line="276" w:lineRule="auto"/>
      <w:ind w:firstLine="397"/>
    </w:pPr>
    <w:rPr>
      <w:rFonts w:eastAsia="Calibri"/>
      <w:kern w:val="28"/>
    </w:rPr>
  </w:style>
  <w:style w:type="paragraph" w:customStyle="1" w:styleId="a5">
    <w:name w:val="פסקת פתיחה"/>
    <w:basedOn w:val="Normal"/>
    <w:next w:val="a6"/>
    <w:link w:val="a4"/>
    <w:qFormat/>
    <w:rsid w:val="00DA2C8B"/>
    <w:pPr>
      <w:spacing w:before="120" w:after="120" w:line="276" w:lineRule="auto"/>
    </w:pPr>
    <w:rPr>
      <w:rFonts w:eastAsia="Times New Roman"/>
      <w:sz w:val="28"/>
      <w:lang w:eastAsia="he-IL"/>
    </w:rPr>
  </w:style>
  <w:style w:type="paragraph" w:customStyle="1" w:styleId="a8">
    <w:name w:val="כותרת אזור בית הדין הרבני"/>
    <w:basedOn w:val="Normal"/>
    <w:qFormat/>
    <w:rsid w:val="00C17BEA"/>
    <w:pPr>
      <w:spacing w:before="120" w:after="240" w:line="360" w:lineRule="auto"/>
    </w:pPr>
    <w:rPr>
      <w:rFonts w:asciiTheme="minorBidi" w:eastAsia="Calibri" w:hAnsiTheme="minorBidi" w:cs="David"/>
      <w:b/>
      <w:bCs/>
      <w:color w:val="002B82"/>
      <w:sz w:val="28"/>
    </w:rPr>
  </w:style>
  <w:style w:type="character" w:customStyle="1" w:styleId="a7">
    <w:name w:val="פסקה רגילה תו"/>
    <w:basedOn w:val="DefaultParagraphFont"/>
    <w:link w:val="a6"/>
    <w:locked/>
    <w:rsid w:val="00E2756A"/>
    <w:rPr>
      <w:rFonts w:eastAsia="Calibri" w:cs="FrankRuehl"/>
      <w:kern w:val="28"/>
      <w:sz w:val="22"/>
      <w:szCs w:val="28"/>
    </w:rPr>
  </w:style>
  <w:style w:type="character" w:customStyle="1" w:styleId="a9">
    <w:name w:val="ציטוט בתוך ציטוט תו"/>
    <w:basedOn w:val="DefaultParagraphFont"/>
    <w:link w:val="aa"/>
    <w:locked/>
    <w:rsid w:val="00DA2C8B"/>
    <w:rPr>
      <w:rFonts w:ascii="Calibri" w:eastAsia="Calibri" w:hAnsi="Calibri" w:cs="FrankRuehl"/>
      <w:i/>
      <w:color w:val="000000" w:themeColor="text1"/>
      <w:kern w:val="28"/>
      <w:sz w:val="28"/>
      <w:szCs w:val="28"/>
    </w:rPr>
  </w:style>
  <w:style w:type="paragraph" w:customStyle="1" w:styleId="aa">
    <w:name w:val="ציטוט בתוך ציטוט"/>
    <w:basedOn w:val="Quote"/>
    <w:link w:val="a9"/>
    <w:qFormat/>
    <w:rsid w:val="00DA2C8B"/>
    <w:pPr>
      <w:ind w:left="1418"/>
    </w:pPr>
    <w:rPr>
      <w:rFonts w:ascii="Calibri" w:hAnsi="Calibri"/>
      <w:sz w:val="28"/>
    </w:rPr>
  </w:style>
  <w:style w:type="character" w:customStyle="1" w:styleId="ab">
    <w:name w:val="כותרת המאמר תו"/>
    <w:basedOn w:val="DefaultParagraphFont"/>
    <w:link w:val="ac"/>
    <w:locked/>
    <w:rsid w:val="00E2756A"/>
    <w:rPr>
      <w:rFonts w:eastAsia="Times New Roman" w:cs="Narkisim"/>
      <w:b/>
      <w:bCs/>
      <w:sz w:val="32"/>
      <w:szCs w:val="32"/>
      <w:lang w:eastAsia="he-IL"/>
    </w:rPr>
  </w:style>
  <w:style w:type="paragraph" w:customStyle="1" w:styleId="ad">
    <w:name w:val="כותרת שם כותב המאמר"/>
    <w:basedOn w:val="Normal"/>
    <w:next w:val="ae"/>
    <w:link w:val="af"/>
    <w:qFormat/>
    <w:rsid w:val="00E2756A"/>
    <w:pPr>
      <w:tabs>
        <w:tab w:val="left" w:pos="284"/>
        <w:tab w:val="left" w:pos="567"/>
      </w:tabs>
      <w:overflowPunct w:val="0"/>
      <w:autoSpaceDE w:val="0"/>
      <w:autoSpaceDN w:val="0"/>
      <w:adjustRightInd w:val="0"/>
      <w:spacing w:before="360" w:after="240"/>
      <w:jc w:val="center"/>
      <w:outlineLvl w:val="3"/>
    </w:pPr>
    <w:rPr>
      <w:rFonts w:eastAsia="Times New Roman" w:cs="Narkisim"/>
      <w:b/>
      <w:bCs/>
      <w:sz w:val="24"/>
      <w:lang w:eastAsia="he-IL"/>
    </w:rPr>
  </w:style>
  <w:style w:type="paragraph" w:customStyle="1" w:styleId="ac">
    <w:name w:val="כותרת המאמר"/>
    <w:basedOn w:val="Normal"/>
    <w:next w:val="ad"/>
    <w:link w:val="ab"/>
    <w:rsid w:val="00E2756A"/>
    <w:pPr>
      <w:keepNext/>
      <w:spacing w:before="840" w:after="120" w:line="276" w:lineRule="auto"/>
      <w:jc w:val="center"/>
      <w:outlineLvl w:val="2"/>
    </w:pPr>
    <w:rPr>
      <w:rFonts w:eastAsia="Times New Roman" w:cs="Narkisim"/>
      <w:b/>
      <w:bCs/>
      <w:sz w:val="32"/>
      <w:szCs w:val="32"/>
      <w:lang w:eastAsia="he-IL"/>
    </w:rPr>
  </w:style>
  <w:style w:type="character" w:customStyle="1" w:styleId="af">
    <w:name w:val="כותרת שם כותב המאמר תו"/>
    <w:basedOn w:val="DefaultParagraphFont"/>
    <w:link w:val="ad"/>
    <w:locked/>
    <w:rsid w:val="00E2756A"/>
    <w:rPr>
      <w:rFonts w:eastAsia="Times New Roman" w:cs="Narkisim"/>
      <w:b/>
      <w:bCs/>
      <w:sz w:val="24"/>
      <w:szCs w:val="28"/>
      <w:lang w:eastAsia="he-IL"/>
    </w:rPr>
  </w:style>
  <w:style w:type="paragraph" w:customStyle="1" w:styleId="ae">
    <w:name w:val="כותרת תפקיד כותב המאמר"/>
    <w:basedOn w:val="ad"/>
    <w:next w:val="a5"/>
    <w:link w:val="af0"/>
    <w:qFormat/>
    <w:rsid w:val="00E2756A"/>
    <w:pPr>
      <w:tabs>
        <w:tab w:val="clear" w:pos="284"/>
        <w:tab w:val="clear" w:pos="567"/>
      </w:tabs>
      <w:spacing w:before="240" w:after="600" w:line="276" w:lineRule="auto"/>
      <w:outlineLvl w:val="5"/>
    </w:pPr>
    <w:rPr>
      <w:sz w:val="26"/>
      <w:szCs w:val="26"/>
    </w:rPr>
  </w:style>
  <w:style w:type="character" w:customStyle="1" w:styleId="af0">
    <w:name w:val="כותרת תפקיד כותב המאמר תו"/>
    <w:basedOn w:val="af"/>
    <w:link w:val="ae"/>
    <w:locked/>
    <w:rsid w:val="00E2756A"/>
    <w:rPr>
      <w:rFonts w:eastAsia="Times New Roman" w:cs="Narkisim"/>
      <w:b/>
      <w:bCs/>
      <w:sz w:val="26"/>
      <w:szCs w:val="26"/>
      <w:lang w:eastAsia="he-IL"/>
    </w:rPr>
  </w:style>
  <w:style w:type="character" w:customStyle="1" w:styleId="af1">
    <w:name w:val="פסק דין תו"/>
    <w:basedOn w:val="DefaultParagraphFont"/>
    <w:link w:val="af2"/>
    <w:locked/>
    <w:rsid w:val="003D0A52"/>
    <w:rPr>
      <w:rFonts w:ascii="Arial" w:eastAsia="Calibri" w:hAnsi="Arial" w:cs="FrankRuehl"/>
      <w:bCs/>
      <w:spacing w:val="20"/>
      <w:kern w:val="28"/>
      <w:sz w:val="24"/>
      <w:szCs w:val="32"/>
    </w:rPr>
  </w:style>
  <w:style w:type="paragraph" w:customStyle="1" w:styleId="af2">
    <w:name w:val="פסק דין"/>
    <w:basedOn w:val="Normal"/>
    <w:next w:val="a5"/>
    <w:link w:val="af1"/>
    <w:qFormat/>
    <w:rsid w:val="003D0A52"/>
    <w:pPr>
      <w:keepNext/>
      <w:overflowPunct w:val="0"/>
      <w:autoSpaceDE w:val="0"/>
      <w:autoSpaceDN w:val="0"/>
      <w:adjustRightInd w:val="0"/>
      <w:spacing w:before="360" w:after="240" w:line="276" w:lineRule="exact"/>
      <w:jc w:val="center"/>
    </w:pPr>
    <w:rPr>
      <w:rFonts w:ascii="Arial" w:eastAsia="Calibri" w:hAnsi="Arial"/>
      <w:bCs/>
      <w:spacing w:val="20"/>
      <w:kern w:val="28"/>
      <w:sz w:val="24"/>
      <w:szCs w:val="32"/>
    </w:rPr>
  </w:style>
  <w:style w:type="character" w:customStyle="1" w:styleId="12">
    <w:name w:val="רשימה א(1)(א) מדורגת תו"/>
    <w:basedOn w:val="DefaultParagraphFont"/>
    <w:link w:val="1"/>
    <w:locked/>
    <w:rsid w:val="0051147D"/>
    <w:rPr>
      <w:rFonts w:ascii="David" w:eastAsia="Calibri" w:hAnsi="David" w:cs="FrankRuehl"/>
      <w:kern w:val="28"/>
      <w:sz w:val="36"/>
      <w:szCs w:val="28"/>
    </w:rPr>
  </w:style>
  <w:style w:type="paragraph" w:customStyle="1" w:styleId="1">
    <w:name w:val="רשימה א(1)(א) מדורגת"/>
    <w:basedOn w:val="a6"/>
    <w:link w:val="12"/>
    <w:qFormat/>
    <w:rsid w:val="005452D2"/>
    <w:pPr>
      <w:numPr>
        <w:numId w:val="1"/>
      </w:numPr>
      <w:spacing w:before="120"/>
    </w:pPr>
    <w:rPr>
      <w:rFonts w:ascii="David" w:hAnsi="David"/>
      <w:sz w:val="36"/>
    </w:rPr>
  </w:style>
  <w:style w:type="paragraph" w:customStyle="1" w:styleId="a0">
    <w:name w:val="כותרת משנה אמצע ממוספרת"/>
    <w:basedOn w:val="Normal"/>
    <w:next w:val="a5"/>
    <w:rsid w:val="00E2756A"/>
    <w:pPr>
      <w:keepNext/>
      <w:numPr>
        <w:numId w:val="2"/>
      </w:numPr>
      <w:tabs>
        <w:tab w:val="left" w:pos="397"/>
      </w:tabs>
      <w:spacing w:before="360" w:after="120" w:line="276" w:lineRule="auto"/>
      <w:jc w:val="center"/>
      <w:outlineLvl w:val="2"/>
    </w:pPr>
    <w:rPr>
      <w:rFonts w:eastAsia="Times New Roman" w:cs="Narkisim"/>
      <w:b/>
      <w:bCs/>
      <w:sz w:val="26"/>
      <w:szCs w:val="26"/>
      <w:lang w:eastAsia="he-IL"/>
    </w:rPr>
  </w:style>
  <w:style w:type="character" w:customStyle="1" w:styleId="110">
    <w:name w:val="רשימה 1(א)(1) מדורגת תו"/>
    <w:basedOn w:val="DefaultParagraphFont"/>
    <w:link w:val="11"/>
    <w:locked/>
    <w:rsid w:val="0051147D"/>
    <w:rPr>
      <w:rFonts w:ascii="David" w:eastAsia="Calibri" w:hAnsi="David" w:cs="FrankRuehl"/>
      <w:kern w:val="28"/>
      <w:sz w:val="28"/>
      <w:szCs w:val="28"/>
      <w:lang w:eastAsia="he-IL"/>
    </w:rPr>
  </w:style>
  <w:style w:type="paragraph" w:customStyle="1" w:styleId="11">
    <w:name w:val="רשימה 1(א)(1) מדורגת"/>
    <w:basedOn w:val="a6"/>
    <w:link w:val="110"/>
    <w:qFormat/>
    <w:rsid w:val="00CE18E3"/>
    <w:pPr>
      <w:numPr>
        <w:numId w:val="3"/>
      </w:numPr>
      <w:spacing w:before="120"/>
    </w:pPr>
    <w:rPr>
      <w:rFonts w:ascii="David" w:hAnsi="David"/>
      <w:sz w:val="28"/>
      <w:lang w:eastAsia="he-IL"/>
    </w:rPr>
  </w:style>
  <w:style w:type="character" w:customStyle="1" w:styleId="af3">
    <w:name w:val="כותרת [א.] צד תו"/>
    <w:basedOn w:val="DefaultParagraphFont"/>
    <w:link w:val="af4"/>
    <w:locked/>
    <w:rsid w:val="008A683B"/>
    <w:rPr>
      <w:rFonts w:ascii="Arial" w:eastAsia="Times New Roman" w:hAnsi="Arial" w:cs="Narkisim"/>
      <w:b/>
      <w:bCs/>
      <w:sz w:val="24"/>
      <w:szCs w:val="24"/>
    </w:rPr>
  </w:style>
  <w:style w:type="paragraph" w:customStyle="1" w:styleId="af4">
    <w:name w:val="כותרת [א.] צד"/>
    <w:basedOn w:val="a1"/>
    <w:next w:val="a5"/>
    <w:link w:val="af3"/>
    <w:qFormat/>
    <w:rsid w:val="008A683B"/>
  </w:style>
  <w:style w:type="character" w:customStyle="1" w:styleId="-">
    <w:name w:val="כותרת [-] צד תו"/>
    <w:basedOn w:val="DefaultParagraphFont"/>
    <w:link w:val="-0"/>
    <w:locked/>
    <w:rsid w:val="00387082"/>
    <w:rPr>
      <w:rFonts w:ascii="Arial" w:eastAsia="Times New Roman" w:hAnsi="Arial" w:cs="Narkisim"/>
      <w:b/>
      <w:bCs/>
      <w:sz w:val="24"/>
      <w:szCs w:val="24"/>
    </w:rPr>
  </w:style>
  <w:style w:type="paragraph" w:customStyle="1" w:styleId="-0">
    <w:name w:val="כותרת [-] צד"/>
    <w:next w:val="Normal"/>
    <w:link w:val="-"/>
    <w:qFormat/>
    <w:rsid w:val="00387082"/>
    <w:pPr>
      <w:keepNext/>
      <w:tabs>
        <w:tab w:val="left" w:pos="454"/>
      </w:tabs>
      <w:bidi/>
      <w:spacing w:before="360" w:after="120"/>
      <w:jc w:val="both"/>
      <w:outlineLvl w:val="3"/>
    </w:pPr>
    <w:rPr>
      <w:rFonts w:ascii="Arial" w:eastAsia="Times New Roman" w:hAnsi="Arial" w:cs="Narkisim"/>
      <w:b/>
      <w:bCs/>
      <w:sz w:val="24"/>
      <w:szCs w:val="24"/>
    </w:rPr>
  </w:style>
  <w:style w:type="character" w:customStyle="1" w:styleId="13">
    <w:name w:val="כותרת [(1)] צד תו"/>
    <w:basedOn w:val="DefaultParagraphFont"/>
    <w:link w:val="10"/>
    <w:locked/>
    <w:rsid w:val="008A683B"/>
    <w:rPr>
      <w:rFonts w:ascii="Arial" w:eastAsia="Times New Roman" w:hAnsi="Arial" w:cs="Narkisim"/>
      <w:b/>
      <w:bCs/>
      <w:sz w:val="22"/>
      <w:szCs w:val="22"/>
    </w:rPr>
  </w:style>
  <w:style w:type="paragraph" w:customStyle="1" w:styleId="10">
    <w:name w:val="כותרת [(1)] צד"/>
    <w:basedOn w:val="a1"/>
    <w:next w:val="a5"/>
    <w:link w:val="13"/>
    <w:qFormat/>
    <w:rsid w:val="008A683B"/>
    <w:pPr>
      <w:numPr>
        <w:ilvl w:val="2"/>
      </w:numPr>
      <w:spacing w:before="240"/>
      <w:outlineLvl w:val="4"/>
    </w:pPr>
    <w:rPr>
      <w:sz w:val="22"/>
      <w:szCs w:val="22"/>
    </w:rPr>
  </w:style>
  <w:style w:type="character" w:customStyle="1" w:styleId="af5">
    <w:name w:val="כותרת [(א)] צד תו"/>
    <w:basedOn w:val="13"/>
    <w:link w:val="a2"/>
    <w:locked/>
    <w:rsid w:val="008A683B"/>
    <w:rPr>
      <w:rFonts w:ascii="Arial" w:eastAsia="Times New Roman" w:hAnsi="Arial" w:cs="Narkisim"/>
      <w:b w:val="0"/>
      <w:bCs w:val="0"/>
      <w:i/>
      <w:iCs/>
      <w:sz w:val="22"/>
      <w:szCs w:val="22"/>
    </w:rPr>
  </w:style>
  <w:style w:type="paragraph" w:customStyle="1" w:styleId="a2">
    <w:name w:val="כותרת [(א)] צד"/>
    <w:basedOn w:val="10"/>
    <w:next w:val="a5"/>
    <w:link w:val="af5"/>
    <w:qFormat/>
    <w:rsid w:val="008A683B"/>
    <w:pPr>
      <w:numPr>
        <w:ilvl w:val="3"/>
        <w:numId w:val="14"/>
      </w:numPr>
      <w:outlineLvl w:val="5"/>
    </w:pPr>
    <w:rPr>
      <w:b w:val="0"/>
      <w:bCs w:val="0"/>
      <w:i/>
      <w:iCs/>
    </w:rPr>
  </w:style>
  <w:style w:type="character" w:styleId="FootnoteReference">
    <w:name w:val="footnote reference"/>
    <w:semiHidden/>
    <w:unhideWhenUsed/>
    <w:qFormat/>
    <w:rsid w:val="00E2756A"/>
    <w:rPr>
      <w:rFonts w:ascii="Times New Roman" w:hAnsi="Times New Roman" w:cs="FrankRuehl" w:hint="default"/>
      <w:kern w:val="0"/>
      <w:position w:val="0"/>
      <w:sz w:val="20"/>
      <w:szCs w:val="28"/>
      <w:vertAlign w:val="superscript"/>
    </w:rPr>
  </w:style>
  <w:style w:type="character" w:styleId="BookTitle">
    <w:name w:val="Book Title"/>
    <w:basedOn w:val="DefaultParagraphFont"/>
    <w:uiPriority w:val="33"/>
    <w:qFormat/>
    <w:rsid w:val="00E2756A"/>
    <w:rPr>
      <w:b/>
      <w:bCs/>
      <w:smallCaps/>
      <w:spacing w:val="5"/>
    </w:rPr>
  </w:style>
  <w:style w:type="paragraph" w:customStyle="1" w:styleId="af6">
    <w:name w:val="שמות הדיינים"/>
    <w:basedOn w:val="Normal"/>
    <w:next w:val="Normal"/>
    <w:link w:val="af7"/>
    <w:qFormat/>
    <w:rsid w:val="00D77F78"/>
    <w:pPr>
      <w:tabs>
        <w:tab w:val="center" w:pos="4153"/>
        <w:tab w:val="right" w:pos="8306"/>
      </w:tabs>
      <w:overflowPunct w:val="0"/>
      <w:autoSpaceDE w:val="0"/>
      <w:autoSpaceDN w:val="0"/>
      <w:adjustRightInd w:val="0"/>
      <w:spacing w:after="360" w:line="276" w:lineRule="exact"/>
      <w:jc w:val="center"/>
      <w:textAlignment w:val="baseline"/>
    </w:pPr>
    <w:rPr>
      <w:rFonts w:eastAsia="Calibri" w:cs="Narkisim"/>
      <w:b/>
      <w:bCs/>
      <w:kern w:val="28"/>
      <w:sz w:val="23"/>
      <w:szCs w:val="23"/>
    </w:rPr>
  </w:style>
  <w:style w:type="character" w:customStyle="1" w:styleId="af7">
    <w:name w:val="שמות הדיינים תו"/>
    <w:basedOn w:val="DefaultParagraphFont"/>
    <w:link w:val="af6"/>
    <w:rsid w:val="00D77F78"/>
    <w:rPr>
      <w:rFonts w:eastAsia="Calibri" w:cs="Narkisim"/>
      <w:b/>
      <w:bCs/>
      <w:kern w:val="28"/>
      <w:sz w:val="23"/>
      <w:szCs w:val="23"/>
    </w:rPr>
  </w:style>
  <w:style w:type="paragraph" w:styleId="Header">
    <w:name w:val="header"/>
    <w:basedOn w:val="Normal"/>
    <w:link w:val="HeaderChar"/>
    <w:uiPriority w:val="99"/>
    <w:unhideWhenUsed/>
    <w:rsid w:val="00FA1DAB"/>
    <w:pPr>
      <w:tabs>
        <w:tab w:val="center" w:pos="4153"/>
        <w:tab w:val="right" w:pos="8306"/>
      </w:tabs>
    </w:pPr>
  </w:style>
  <w:style w:type="character" w:customStyle="1" w:styleId="HeaderChar">
    <w:name w:val="Header Char"/>
    <w:basedOn w:val="DefaultParagraphFont"/>
    <w:link w:val="Header"/>
    <w:uiPriority w:val="99"/>
    <w:rsid w:val="00FA1DAB"/>
    <w:rPr>
      <w:rFonts w:cs="FrankRuehl"/>
      <w:sz w:val="22"/>
      <w:szCs w:val="28"/>
    </w:rPr>
  </w:style>
  <w:style w:type="paragraph" w:styleId="Footer">
    <w:name w:val="footer"/>
    <w:basedOn w:val="Normal"/>
    <w:link w:val="FooterChar"/>
    <w:uiPriority w:val="99"/>
    <w:unhideWhenUsed/>
    <w:rsid w:val="00FA1DAB"/>
    <w:pPr>
      <w:tabs>
        <w:tab w:val="center" w:pos="4153"/>
        <w:tab w:val="right" w:pos="8306"/>
      </w:tabs>
    </w:pPr>
  </w:style>
  <w:style w:type="character" w:customStyle="1" w:styleId="FooterChar">
    <w:name w:val="Footer Char"/>
    <w:basedOn w:val="DefaultParagraphFont"/>
    <w:link w:val="Footer"/>
    <w:uiPriority w:val="99"/>
    <w:rsid w:val="00FA1DAB"/>
    <w:rPr>
      <w:rFonts w:cs="FrankRuehl"/>
      <w:sz w:val="22"/>
      <w:szCs w:val="28"/>
    </w:rPr>
  </w:style>
  <w:style w:type="paragraph" w:customStyle="1" w:styleId="af8">
    <w:name w:val="רשימה רגילה"/>
    <w:basedOn w:val="1"/>
    <w:next w:val="a6"/>
    <w:link w:val="af9"/>
    <w:qFormat/>
    <w:rsid w:val="009D23D6"/>
    <w:pPr>
      <w:ind w:left="0" w:firstLine="0"/>
    </w:pPr>
  </w:style>
  <w:style w:type="character" w:customStyle="1" w:styleId="af9">
    <w:name w:val="רשימה רגילה תו"/>
    <w:basedOn w:val="12"/>
    <w:link w:val="af8"/>
    <w:rsid w:val="009D23D6"/>
    <w:rPr>
      <w:rFonts w:ascii="David" w:eastAsia="Calibri" w:hAnsi="David" w:cs="FrankRuehl"/>
      <w:kern w:val="28"/>
      <w:sz w:val="36"/>
      <w:szCs w:val="28"/>
    </w:rPr>
  </w:style>
  <w:style w:type="paragraph" w:customStyle="1" w:styleId="a1">
    <w:name w:val="כותרת [א.] צד"/>
    <w:basedOn w:val="Normal"/>
    <w:next w:val="a5"/>
    <w:link w:val="14"/>
    <w:qFormat/>
    <w:rsid w:val="008A683B"/>
    <w:pPr>
      <w:keepNext/>
      <w:numPr>
        <w:ilvl w:val="1"/>
        <w:numId w:val="2"/>
      </w:numPr>
      <w:tabs>
        <w:tab w:val="left" w:pos="397"/>
      </w:tabs>
      <w:spacing w:before="360" w:after="120" w:line="276" w:lineRule="auto"/>
      <w:outlineLvl w:val="3"/>
    </w:pPr>
    <w:rPr>
      <w:rFonts w:ascii="Arial" w:eastAsia="Times New Roman" w:hAnsi="Arial" w:cs="Narkisim"/>
      <w:b/>
      <w:bCs/>
      <w:sz w:val="24"/>
      <w:szCs w:val="24"/>
    </w:rPr>
  </w:style>
  <w:style w:type="character" w:customStyle="1" w:styleId="14">
    <w:name w:val="כותרת [א.] צד תו1"/>
    <w:basedOn w:val="DefaultParagraphFont"/>
    <w:link w:val="a1"/>
    <w:rsid w:val="008A683B"/>
    <w:rPr>
      <w:rFonts w:ascii="Arial" w:eastAsia="Times New Roman" w:hAnsi="Arial" w:cs="Narkisim"/>
      <w:b/>
      <w:bCs/>
      <w:sz w:val="24"/>
      <w:szCs w:val="24"/>
    </w:rPr>
  </w:style>
  <w:style w:type="paragraph" w:customStyle="1" w:styleId="afa">
    <w:name w:val="מספר תיק"/>
    <w:basedOn w:val="Normal"/>
    <w:link w:val="afb"/>
    <w:qFormat/>
    <w:rsid w:val="003D0A52"/>
    <w:pPr>
      <w:overflowPunct w:val="0"/>
      <w:autoSpaceDE w:val="0"/>
      <w:autoSpaceDN w:val="0"/>
      <w:adjustRightInd w:val="0"/>
      <w:spacing w:after="240" w:line="276" w:lineRule="exact"/>
      <w:jc w:val="right"/>
      <w:textAlignment w:val="baseline"/>
    </w:pPr>
    <w:rPr>
      <w:rFonts w:eastAsia="Times New Roman"/>
      <w:sz w:val="24"/>
      <w:szCs w:val="32"/>
      <w:lang w:eastAsia="he-IL"/>
    </w:rPr>
  </w:style>
  <w:style w:type="character" w:customStyle="1" w:styleId="afb">
    <w:name w:val="מספר תיק תו"/>
    <w:basedOn w:val="DefaultParagraphFont"/>
    <w:link w:val="afa"/>
    <w:rsid w:val="003D0A52"/>
    <w:rPr>
      <w:rFonts w:eastAsia="Times New Roman" w:cs="FrankRuehl"/>
      <w:sz w:val="24"/>
      <w:szCs w:val="32"/>
      <w:lang w:eastAsia="he-IL"/>
    </w:rPr>
  </w:style>
  <w:style w:type="paragraph" w:customStyle="1" w:styleId="afc">
    <w:name w:val="פלוני"/>
    <w:basedOn w:val="Normal"/>
    <w:link w:val="afd"/>
    <w:qFormat/>
    <w:rsid w:val="003D0A52"/>
    <w:pPr>
      <w:overflowPunct w:val="0"/>
      <w:autoSpaceDE w:val="0"/>
      <w:autoSpaceDN w:val="0"/>
      <w:adjustRightInd w:val="0"/>
      <w:spacing w:after="100" w:line="240" w:lineRule="exact"/>
      <w:textAlignment w:val="baseline"/>
    </w:pPr>
    <w:rPr>
      <w:rFonts w:eastAsia="Times New Roman"/>
      <w:sz w:val="26"/>
      <w:szCs w:val="32"/>
      <w:lang w:eastAsia="he-IL"/>
    </w:rPr>
  </w:style>
  <w:style w:type="character" w:customStyle="1" w:styleId="afd">
    <w:name w:val="פלוני תו"/>
    <w:basedOn w:val="DefaultParagraphFont"/>
    <w:link w:val="afc"/>
    <w:rsid w:val="003D0A52"/>
    <w:rPr>
      <w:rFonts w:eastAsia="Times New Roman" w:cs="FrankRuehl"/>
      <w:sz w:val="26"/>
      <w:szCs w:val="32"/>
      <w:lang w:eastAsia="he-IL"/>
    </w:rPr>
  </w:style>
  <w:style w:type="paragraph" w:customStyle="1" w:styleId="afe">
    <w:name w:val="כותרת הנידון ומסקנות"/>
    <w:basedOn w:val="Normal"/>
    <w:next w:val="aff"/>
    <w:link w:val="aff0"/>
    <w:qFormat/>
    <w:rsid w:val="003D0A52"/>
    <w:pPr>
      <w:spacing w:before="360" w:after="120" w:line="276" w:lineRule="auto"/>
      <w:jc w:val="center"/>
    </w:pPr>
    <w:rPr>
      <w:rFonts w:ascii="Cambria" w:eastAsia="Times New Roman" w:hAnsi="Cambria" w:cs="Narkisim"/>
      <w:b/>
      <w:noProof/>
      <w:sz w:val="26"/>
      <w:szCs w:val="26"/>
      <w:lang w:eastAsia="he-IL"/>
    </w:rPr>
  </w:style>
  <w:style w:type="paragraph" w:customStyle="1" w:styleId="aff">
    <w:name w:val="תקציר פתיחה"/>
    <w:basedOn w:val="Normal"/>
    <w:next w:val="Normal"/>
    <w:link w:val="aff1"/>
    <w:qFormat/>
    <w:rsid w:val="0065626D"/>
    <w:pPr>
      <w:overflowPunct w:val="0"/>
      <w:autoSpaceDE w:val="0"/>
      <w:autoSpaceDN w:val="0"/>
      <w:adjustRightInd w:val="0"/>
      <w:spacing w:before="120" w:after="120" w:line="250" w:lineRule="exact"/>
      <w:textAlignment w:val="baseline"/>
    </w:pPr>
    <w:rPr>
      <w:rFonts w:eastAsia="Times New Roman"/>
      <w:sz w:val="20"/>
      <w:szCs w:val="24"/>
      <w:lang w:eastAsia="he-IL"/>
    </w:rPr>
  </w:style>
  <w:style w:type="character" w:customStyle="1" w:styleId="aff1">
    <w:name w:val="תקציר פתיחה תו"/>
    <w:basedOn w:val="DefaultParagraphFont"/>
    <w:link w:val="aff"/>
    <w:rsid w:val="0065626D"/>
    <w:rPr>
      <w:rFonts w:eastAsia="Times New Roman" w:cs="FrankRuehl"/>
      <w:szCs w:val="24"/>
      <w:lang w:eastAsia="he-IL"/>
    </w:rPr>
  </w:style>
  <w:style w:type="character" w:customStyle="1" w:styleId="aff0">
    <w:name w:val="כותרת הנידון ומסקנות תו"/>
    <w:basedOn w:val="DefaultParagraphFont"/>
    <w:link w:val="afe"/>
    <w:rsid w:val="003D0A52"/>
    <w:rPr>
      <w:rFonts w:ascii="Cambria" w:eastAsia="Times New Roman" w:hAnsi="Cambria" w:cs="Narkisim"/>
      <w:b/>
      <w:noProof/>
      <w:sz w:val="26"/>
      <w:szCs w:val="26"/>
      <w:lang w:eastAsia="he-IL"/>
    </w:rPr>
  </w:style>
  <w:style w:type="paragraph" w:customStyle="1" w:styleId="aff2">
    <w:name w:val="מסקנות [א.] תוכן"/>
    <w:basedOn w:val="Normal"/>
    <w:link w:val="aff3"/>
    <w:qFormat/>
    <w:rsid w:val="0065626D"/>
    <w:pPr>
      <w:tabs>
        <w:tab w:val="left" w:pos="340"/>
        <w:tab w:val="left" w:pos="680"/>
      </w:tabs>
      <w:overflowPunct w:val="0"/>
      <w:autoSpaceDE w:val="0"/>
      <w:autoSpaceDN w:val="0"/>
      <w:adjustRightInd w:val="0"/>
      <w:spacing w:before="120" w:after="120" w:line="250" w:lineRule="exact"/>
      <w:ind w:left="340" w:hanging="340"/>
      <w:textAlignment w:val="baseline"/>
    </w:pPr>
    <w:rPr>
      <w:rFonts w:eastAsia="Times New Roman"/>
      <w:sz w:val="20"/>
      <w:szCs w:val="24"/>
      <w:lang w:eastAsia="he-IL"/>
    </w:rPr>
  </w:style>
  <w:style w:type="character" w:customStyle="1" w:styleId="aff3">
    <w:name w:val="מסקנות [א.] תוכן תו"/>
    <w:basedOn w:val="DefaultParagraphFont"/>
    <w:link w:val="aff2"/>
    <w:rsid w:val="0065626D"/>
    <w:rPr>
      <w:rFonts w:eastAsia="Times New Roman" w:cs="FrankRuehl"/>
      <w:szCs w:val="24"/>
      <w:lang w:eastAsia="he-IL"/>
    </w:rPr>
  </w:style>
  <w:style w:type="paragraph" w:customStyle="1" w:styleId="aff4">
    <w:name w:val="בבית הדין הרבני"/>
    <w:basedOn w:val="Normal"/>
    <w:next w:val="aff5"/>
    <w:link w:val="aff6"/>
    <w:rsid w:val="003D0A52"/>
    <w:pPr>
      <w:overflowPunct w:val="0"/>
      <w:autoSpaceDE w:val="0"/>
      <w:autoSpaceDN w:val="0"/>
      <w:adjustRightInd w:val="0"/>
      <w:spacing w:before="360" w:after="120" w:line="276" w:lineRule="exact"/>
      <w:jc w:val="center"/>
      <w:textAlignment w:val="baseline"/>
    </w:pPr>
    <w:rPr>
      <w:rFonts w:eastAsia="Times New Roman"/>
      <w:b/>
      <w:bCs/>
      <w:sz w:val="24"/>
      <w:lang w:eastAsia="he-IL"/>
    </w:rPr>
  </w:style>
  <w:style w:type="paragraph" w:customStyle="1" w:styleId="aff5">
    <w:name w:val="לפני כבוד הדיינים"/>
    <w:basedOn w:val="Normal"/>
    <w:next w:val="af6"/>
    <w:link w:val="aff7"/>
    <w:qFormat/>
    <w:rsid w:val="0065626D"/>
    <w:pPr>
      <w:overflowPunct w:val="0"/>
      <w:autoSpaceDE w:val="0"/>
      <w:autoSpaceDN w:val="0"/>
      <w:adjustRightInd w:val="0"/>
      <w:spacing w:after="120" w:line="276" w:lineRule="exact"/>
      <w:jc w:val="center"/>
      <w:textAlignment w:val="baseline"/>
    </w:pPr>
    <w:rPr>
      <w:rFonts w:eastAsia="Times New Roman"/>
      <w:szCs w:val="26"/>
      <w:lang w:eastAsia="he-IL"/>
    </w:rPr>
  </w:style>
  <w:style w:type="character" w:customStyle="1" w:styleId="aff7">
    <w:name w:val="לפני כבוד הדיינים תו"/>
    <w:basedOn w:val="DefaultParagraphFont"/>
    <w:link w:val="aff5"/>
    <w:rsid w:val="0065626D"/>
    <w:rPr>
      <w:rFonts w:eastAsia="Times New Roman" w:cs="FrankRuehl"/>
      <w:sz w:val="22"/>
      <w:szCs w:val="26"/>
      <w:lang w:eastAsia="he-IL"/>
    </w:rPr>
  </w:style>
  <w:style w:type="character" w:customStyle="1" w:styleId="aff6">
    <w:name w:val="בבית הדין הרבני תו"/>
    <w:basedOn w:val="DefaultParagraphFont"/>
    <w:link w:val="aff4"/>
    <w:rsid w:val="003D0A52"/>
    <w:rPr>
      <w:rFonts w:eastAsia="Times New Roman" w:cs="FrankRuehl"/>
      <w:b/>
      <w:bCs/>
      <w:sz w:val="24"/>
      <w:szCs w:val="28"/>
      <w:lang w:eastAsia="he-IL"/>
    </w:rPr>
  </w:style>
  <w:style w:type="paragraph" w:customStyle="1" w:styleId="15">
    <w:name w:val="מסקנות [א.(1)] תוכן"/>
    <w:basedOn w:val="Normal"/>
    <w:link w:val="16"/>
    <w:qFormat/>
    <w:rsid w:val="0065626D"/>
    <w:pPr>
      <w:tabs>
        <w:tab w:val="left" w:pos="340"/>
        <w:tab w:val="left" w:pos="680"/>
      </w:tabs>
      <w:overflowPunct w:val="0"/>
      <w:autoSpaceDE w:val="0"/>
      <w:autoSpaceDN w:val="0"/>
      <w:adjustRightInd w:val="0"/>
      <w:spacing w:before="120" w:after="120" w:line="250" w:lineRule="exact"/>
      <w:ind w:left="680" w:hanging="680"/>
      <w:textAlignment w:val="baseline"/>
    </w:pPr>
    <w:rPr>
      <w:rFonts w:eastAsia="Times New Roman"/>
      <w:sz w:val="24"/>
      <w:szCs w:val="24"/>
      <w:lang w:eastAsia="he-IL"/>
    </w:rPr>
  </w:style>
  <w:style w:type="character" w:customStyle="1" w:styleId="16">
    <w:name w:val="מסקנות [א.(1)] תוכן תו"/>
    <w:basedOn w:val="DefaultParagraphFont"/>
    <w:link w:val="15"/>
    <w:rsid w:val="0065626D"/>
    <w:rPr>
      <w:rFonts w:eastAsia="Times New Roman" w:cs="FrankRuehl"/>
      <w:sz w:val="24"/>
      <w:szCs w:val="24"/>
      <w:lang w:eastAsia="he-IL"/>
    </w:rPr>
  </w:style>
  <w:style w:type="paragraph" w:customStyle="1" w:styleId="a">
    <w:name w:val="כללי [א.] ממוספר"/>
    <w:basedOn w:val="Normal"/>
    <w:qFormat/>
    <w:rsid w:val="0065626D"/>
    <w:pPr>
      <w:numPr>
        <w:numId w:val="17"/>
      </w:numPr>
      <w:overflowPunct w:val="0"/>
      <w:autoSpaceDE w:val="0"/>
      <w:autoSpaceDN w:val="0"/>
      <w:adjustRightInd w:val="0"/>
      <w:spacing w:after="120" w:line="276" w:lineRule="auto"/>
      <w:ind w:left="794" w:hanging="397"/>
      <w:textAlignment w:val="baseline"/>
    </w:pPr>
    <w:rPr>
      <w:rFonts w:eastAsia="Times New Roman"/>
      <w:kern w:val="28"/>
      <w:szCs w:val="26"/>
    </w:rPr>
  </w:style>
  <w:style w:type="paragraph" w:customStyle="1" w:styleId="aff8">
    <w:name w:val="ראשי פרקים"/>
    <w:basedOn w:val="aff"/>
    <w:link w:val="aff9"/>
    <w:qFormat/>
    <w:rsid w:val="0065626D"/>
    <w:pPr>
      <w:tabs>
        <w:tab w:val="center" w:pos="3289"/>
      </w:tabs>
      <w:spacing w:before="240" w:after="240" w:line="360" w:lineRule="auto"/>
    </w:pPr>
    <w:rPr>
      <w:rFonts w:cs="Narkisim"/>
      <w:szCs w:val="22"/>
    </w:rPr>
  </w:style>
  <w:style w:type="character" w:customStyle="1" w:styleId="aff9">
    <w:name w:val="ראשי פרקים תו"/>
    <w:basedOn w:val="aff1"/>
    <w:link w:val="aff8"/>
    <w:rsid w:val="0065626D"/>
    <w:rPr>
      <w:rFonts w:eastAsia="Times New Roman" w:cs="Narkisim"/>
      <w:szCs w:val="22"/>
      <w:lang w:eastAsia="he-IL"/>
    </w:rPr>
  </w:style>
  <w:style w:type="character" w:customStyle="1" w:styleId="Heading2Char">
    <w:name w:val="Heading 2 Char"/>
    <w:basedOn w:val="DefaultParagraphFont"/>
    <w:link w:val="Heading2"/>
    <w:uiPriority w:val="9"/>
    <w:rsid w:val="001F3BB4"/>
    <w:rPr>
      <w:rFonts w:eastAsia="Times New Roman" w:cs="Times New Roman"/>
      <w:b/>
      <w:bCs/>
      <w:sz w:val="50"/>
      <w:szCs w:val="50"/>
    </w:rPr>
  </w:style>
  <w:style w:type="paragraph" w:styleId="BalloonText">
    <w:name w:val="Balloon Text"/>
    <w:basedOn w:val="Normal"/>
    <w:link w:val="BalloonTextChar"/>
    <w:uiPriority w:val="99"/>
    <w:semiHidden/>
    <w:unhideWhenUsed/>
    <w:rsid w:val="001F3BB4"/>
    <w:pPr>
      <w:jc w:val="left"/>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BB4"/>
    <w:rPr>
      <w:rFonts w:ascii="Tahoma" w:hAnsi="Tahoma" w:cs="Tahoma"/>
      <w:sz w:val="16"/>
      <w:szCs w:val="16"/>
    </w:rPr>
  </w:style>
  <w:style w:type="table" w:styleId="TableGrid">
    <w:name w:val="Table Grid"/>
    <w:basedOn w:val="TableNormal"/>
    <w:uiPriority w:val="59"/>
    <w:rsid w:val="001F3BB4"/>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1F3BB4"/>
    <w:rPr>
      <w:color w:val="808080"/>
    </w:rPr>
  </w:style>
  <w:style w:type="paragraph" w:styleId="NormalWeb">
    <w:name w:val="Normal (Web)"/>
    <w:basedOn w:val="Normal"/>
    <w:uiPriority w:val="99"/>
    <w:semiHidden/>
    <w:unhideWhenUsed/>
    <w:rsid w:val="001F3BB4"/>
    <w:pPr>
      <w:bidi w:val="0"/>
      <w:spacing w:before="100" w:beforeAutospacing="1" w:after="100" w:afterAutospacing="1"/>
    </w:pPr>
    <w:rPr>
      <w:rFonts w:eastAsia="Times New Roman" w:cs="Times New Roman"/>
      <w:sz w:val="40"/>
      <w:szCs w:val="40"/>
    </w:rPr>
  </w:style>
  <w:style w:type="paragraph" w:customStyle="1" w:styleId="affa">
    <w:name w:val="פרדס"/>
    <w:basedOn w:val="Normal"/>
    <w:link w:val="affb"/>
    <w:qFormat/>
    <w:rsid w:val="001F3BB4"/>
    <w:pPr>
      <w:spacing w:line="360" w:lineRule="auto"/>
    </w:pPr>
    <w:rPr>
      <w:rFonts w:ascii="Calibri" w:eastAsia="Calibri" w:hAnsi="Calibri"/>
      <w:sz w:val="28"/>
    </w:rPr>
  </w:style>
  <w:style w:type="character" w:customStyle="1" w:styleId="affb">
    <w:name w:val="פרדס תו"/>
    <w:basedOn w:val="DefaultParagraphFont"/>
    <w:link w:val="affa"/>
    <w:rsid w:val="001F3BB4"/>
    <w:rPr>
      <w:rFonts w:ascii="Calibri" w:eastAsia="Calibri" w:hAnsi="Calibri" w:cs="FrankRuehl"/>
      <w:sz w:val="28"/>
      <w:szCs w:val="28"/>
    </w:rPr>
  </w:style>
  <w:style w:type="table" w:customStyle="1" w:styleId="17">
    <w:name w:val="רשת טבלה1"/>
    <w:basedOn w:val="TableNormal"/>
    <w:next w:val="TableGrid"/>
    <w:uiPriority w:val="59"/>
    <w:rsid w:val="007F0CFB"/>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59"/>
    <w:rsid w:val="007F0CFB"/>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42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7CF46BEA09B4F829B66E457DB4B8ACD"/>
        <w:category>
          <w:name w:val="כללי"/>
          <w:gallery w:val="placeholder"/>
        </w:category>
        <w:types>
          <w:type w:val="bbPlcHdr"/>
        </w:types>
        <w:behaviors>
          <w:behavior w:val="content"/>
        </w:behaviors>
        <w:guid w:val="{1F265761-CC8F-422F-AA70-1366E6170042}"/>
      </w:docPartPr>
      <w:docPartBody>
        <w:p w:rsidR="00EE264E" w:rsidRDefault="0007050F" w:rsidP="0007050F">
          <w:pPr>
            <w:pStyle w:val="D7CF46BEA09B4F829B66E457DB4B8ACD"/>
          </w:pPr>
          <w:r w:rsidRPr="00424C58">
            <w:rPr>
              <w:rStyle w:val="PlaceholderText"/>
            </w:rPr>
            <w:t>Click here to enter text.</w:t>
          </w:r>
        </w:p>
      </w:docPartBody>
    </w:docPart>
    <w:docPart>
      <w:docPartPr>
        <w:name w:val="4301831A40EB486E94B470E03047D162"/>
        <w:category>
          <w:name w:val="כללי"/>
          <w:gallery w:val="placeholder"/>
        </w:category>
        <w:types>
          <w:type w:val="bbPlcHdr"/>
        </w:types>
        <w:behaviors>
          <w:behavior w:val="content"/>
        </w:behaviors>
        <w:guid w:val="{041FF602-17D7-445B-9875-5E0149A15E10}"/>
      </w:docPartPr>
      <w:docPartBody>
        <w:p w:rsidR="00EE264E" w:rsidRDefault="0007050F" w:rsidP="0007050F">
          <w:pPr>
            <w:pStyle w:val="4301831A40EB486E94B470E03047D162"/>
          </w:pPr>
          <w:r w:rsidRPr="00424C5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50F"/>
    <w:rsid w:val="0007050F"/>
    <w:rsid w:val="00305BB2"/>
    <w:rsid w:val="004534ED"/>
    <w:rsid w:val="00815F0F"/>
    <w:rsid w:val="009C007A"/>
    <w:rsid w:val="00EE264E"/>
    <w:rsid w:val="00F66E23"/>
    <w:rsid w:val="00F8789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50F"/>
    <w:rPr>
      <w:color w:val="808080"/>
    </w:rPr>
  </w:style>
  <w:style w:type="paragraph" w:customStyle="1" w:styleId="D7CF46BEA09B4F829B66E457DB4B8ACD">
    <w:name w:val="D7CF46BEA09B4F829B66E457DB4B8ACD"/>
    <w:rsid w:val="0007050F"/>
    <w:pPr>
      <w:bidi/>
    </w:pPr>
  </w:style>
  <w:style w:type="paragraph" w:customStyle="1" w:styleId="4301831A40EB486E94B470E03047D162">
    <w:name w:val="4301831A40EB486E94B470E03047D162"/>
    <w:rsid w:val="0007050F"/>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990</Words>
  <Characters>4954</Characters>
  <Application>Microsoft Office Word</Application>
  <DocSecurity>0</DocSecurity>
  <Lines>41</Lines>
  <Paragraphs>11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סידורי גיטין</vt:lpstr>
      <vt:lpstr/>
    </vt:vector>
  </TitlesOfParts>
  <Company>HP</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סידורי גיטין</dc:title>
  <dc:creator>קבוצת פרקטיקל</dc:creator>
  <cp:keywords>לנה עמו, גט לחומרא, ביאת זנות, הפה שאסר, הן הן, עדי ייחוד</cp:keywords>
  <cp:lastModifiedBy>Jasmine Mann Dahan</cp:lastModifiedBy>
  <cp:revision>4</cp:revision>
  <dcterms:created xsi:type="dcterms:W3CDTF">2024-12-17T11:17:00Z</dcterms:created>
  <dcterms:modified xsi:type="dcterms:W3CDTF">2025-02-25T11:49:00Z</dcterms:modified>
</cp:coreProperties>
</file>