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57BB2" w14:textId="77777777" w:rsidR="008830E8" w:rsidRDefault="00581E30">
      <w:pPr>
        <w:bidi/>
        <w:jc w:val="center"/>
        <w:rPr>
          <w:rFonts w:ascii="Calibri" w:hAnsi="Calibri"/>
          <w:b/>
          <w:bCs/>
          <w:color w:val="1F4E79"/>
          <w:sz w:val="28"/>
          <w:szCs w:val="28"/>
          <w:rtl/>
        </w:rPr>
      </w:pPr>
      <w:r>
        <w:rPr>
          <w:rFonts w:hint="cs"/>
          <w:b/>
          <w:bCs/>
          <w:color w:val="1F4E79"/>
          <w:sz w:val="28"/>
          <w:szCs w:val="28"/>
          <w:rtl/>
        </w:rPr>
        <w:t>הסכם התקשורת</w:t>
      </w:r>
    </w:p>
    <w:p w14:paraId="537311AD" w14:textId="5031D2F3" w:rsidR="008830E8" w:rsidRDefault="00581E30" w:rsidP="000D3E82">
      <w:pPr>
        <w:tabs>
          <w:tab w:val="left" w:pos="2364"/>
          <w:tab w:val="left" w:pos="2790"/>
          <w:tab w:val="left" w:pos="4632"/>
        </w:tabs>
        <w:bidi/>
        <w:rPr>
          <w:b/>
          <w:bCs/>
          <w:color w:val="000000"/>
          <w:rtl/>
        </w:rPr>
      </w:pPr>
      <w:r>
        <w:rPr>
          <w:b/>
          <w:bCs/>
          <w:color w:val="000000"/>
          <w:rtl/>
        </w:rPr>
        <w:t>שם לקוח</w:t>
      </w:r>
      <w:r>
        <w:rPr>
          <w:b/>
          <w:bCs/>
          <w:sz w:val="24"/>
          <w:szCs w:val="24"/>
          <w:rtl/>
        </w:rPr>
        <w:t>:</w:t>
      </w:r>
      <w:r>
        <w:rPr>
          <w:rFonts w:hint="cs"/>
          <w:b/>
          <w:bCs/>
          <w:sz w:val="24"/>
          <w:szCs w:val="24"/>
          <w:rtl/>
        </w:rPr>
        <w:t xml:space="preserve"> </w:t>
      </w:r>
      <w:r w:rsidR="005A2E6E" w:rsidRPr="005A2E6E">
        <w:rPr>
          <w:b/>
          <w:bCs/>
          <w:color w:val="000000"/>
          <w:u w:val="single"/>
          <w:rtl/>
        </w:rPr>
        <w:t xml:space="preserve"> </w:t>
      </w:r>
      <w:r w:rsidR="000D3E82">
        <w:rPr>
          <w:rFonts w:hint="cs"/>
          <w:b/>
          <w:bCs/>
          <w:color w:val="000000"/>
          <w:u w:val="single"/>
          <w:rtl/>
        </w:rPr>
        <w:t xml:space="preserve">חברת אומומואה בע"מ </w:t>
      </w:r>
      <w:r>
        <w:rPr>
          <w:rFonts w:hint="cs"/>
          <w:b/>
          <w:bCs/>
          <w:color w:val="000000"/>
        </w:rPr>
        <w:t xml:space="preserve">  </w:t>
      </w:r>
      <w:r>
        <w:rPr>
          <w:b/>
          <w:bCs/>
          <w:color w:val="000000"/>
          <w:rtl/>
        </w:rPr>
        <w:t>ח.פ.</w:t>
      </w:r>
      <w:r w:rsidR="000D3E82">
        <w:rPr>
          <w:rFonts w:hint="cs"/>
          <w:b/>
          <w:bCs/>
          <w:color w:val="000000"/>
          <w:rtl/>
        </w:rPr>
        <w:t xml:space="preserve"> </w:t>
      </w:r>
      <w:bookmarkStart w:id="0" w:name="_Hlk135832252"/>
      <w:r w:rsidR="000D3E82" w:rsidRPr="00B54D46">
        <w:rPr>
          <w:b/>
          <w:bCs/>
          <w:color w:val="000000"/>
          <w:u w:val="single"/>
        </w:rPr>
        <w:t>3.14159265358</w:t>
      </w:r>
      <w:bookmarkEnd w:id="0"/>
      <w:r w:rsidR="00E81D30">
        <w:rPr>
          <w:b/>
          <w:bCs/>
          <w:color w:val="000000"/>
          <w:rtl/>
        </w:rPr>
        <w:tab/>
      </w:r>
      <w:r>
        <w:rPr>
          <w:b/>
          <w:bCs/>
          <w:color w:val="000000"/>
          <w:rtl/>
        </w:rPr>
        <w:t>תאריך:</w:t>
      </w:r>
      <w:r w:rsidR="00D43199">
        <w:rPr>
          <w:rFonts w:hint="cs"/>
          <w:b/>
          <w:bCs/>
          <w:color w:val="000000"/>
          <w:u w:val="single"/>
          <w:rtl/>
        </w:rPr>
        <w:t xml:space="preserve"> ______</w:t>
      </w:r>
      <w:r>
        <w:rPr>
          <w:b/>
          <w:bCs/>
          <w:color w:val="000000"/>
          <w:rtl/>
        </w:rPr>
        <w:t xml:space="preserve">כתובת: </w:t>
      </w:r>
      <w:r w:rsidR="000D3E82" w:rsidRPr="000D3E82">
        <w:rPr>
          <w:rFonts w:hint="cs"/>
          <w:b/>
          <w:bCs/>
          <w:color w:val="000000"/>
          <w:u w:val="single"/>
          <w:rtl/>
        </w:rPr>
        <w:t xml:space="preserve">החלל החיצון שביט אומומואה, ד.נ. 123. </w:t>
      </w:r>
      <w:r w:rsidR="000D3E82">
        <w:rPr>
          <w:rFonts w:hint="cs"/>
          <w:b/>
          <w:bCs/>
          <w:color w:val="000000"/>
          <w:rtl/>
        </w:rPr>
        <w:t xml:space="preserve"> </w:t>
      </w:r>
    </w:p>
    <w:p w14:paraId="007A0CA4" w14:textId="22769D2E" w:rsidR="008830E8" w:rsidRDefault="00581E30">
      <w:pPr>
        <w:bidi/>
        <w:rPr>
          <w:b/>
          <w:bCs/>
          <w:color w:val="000000"/>
          <w:rtl/>
        </w:rPr>
      </w:pPr>
      <w:r>
        <w:rPr>
          <w:b/>
          <w:bCs/>
          <w:color w:val="000000"/>
          <w:rtl/>
        </w:rPr>
        <w:t xml:space="preserve">פרטי איש קשר מורשה מטעם הלקוח: </w:t>
      </w:r>
      <w:r w:rsidR="000D3E82">
        <w:rPr>
          <w:rFonts w:eastAsia="Times New Roman" w:hint="cs"/>
          <w:b/>
          <w:bCs/>
          <w:u w:val="single"/>
          <w:rtl/>
        </w:rPr>
        <w:t>כוכב שביט</w:t>
      </w:r>
    </w:p>
    <w:p w14:paraId="31276FEB" w14:textId="1352C40D" w:rsidR="005A2E6E" w:rsidRDefault="005A2E6E" w:rsidP="005A2E6E">
      <w:pPr>
        <w:tabs>
          <w:tab w:val="left" w:pos="1656"/>
          <w:tab w:val="left" w:pos="4349"/>
          <w:tab w:val="left" w:pos="4491"/>
          <w:tab w:val="left" w:pos="9027"/>
        </w:tabs>
        <w:bidi/>
        <w:rPr>
          <w:b/>
          <w:bCs/>
          <w:color w:val="000000"/>
          <w:rtl/>
        </w:rPr>
      </w:pPr>
      <w:r>
        <w:rPr>
          <w:b/>
          <w:bCs/>
          <w:color w:val="000000"/>
          <w:rtl/>
        </w:rPr>
        <w:t xml:space="preserve">שם: </w:t>
      </w:r>
      <w:r w:rsidR="00E81D30">
        <w:rPr>
          <w:rFonts w:eastAsia="Times New Roman" w:hint="cs"/>
          <w:b/>
          <w:bCs/>
          <w:u w:val="single"/>
          <w:rtl/>
        </w:rPr>
        <w:t>__________</w:t>
      </w:r>
      <w:r>
        <w:rPr>
          <w:rFonts w:eastAsia="Times New Roman"/>
          <w:rtl/>
        </w:rPr>
        <w:tab/>
      </w:r>
      <w:r>
        <w:rPr>
          <w:rFonts w:eastAsia="Times New Roman" w:hint="cs"/>
          <w:rtl/>
        </w:rPr>
        <w:t xml:space="preserve">  </w:t>
      </w:r>
      <w:r>
        <w:rPr>
          <w:rFonts w:hint="cs"/>
          <w:b/>
          <w:bCs/>
          <w:color w:val="000000"/>
          <w:rtl/>
        </w:rPr>
        <w:t>טלפון</w:t>
      </w:r>
      <w:r>
        <w:rPr>
          <w:b/>
          <w:bCs/>
          <w:color w:val="000000"/>
          <w:rtl/>
        </w:rPr>
        <w:t>:</w:t>
      </w:r>
      <w:r>
        <w:rPr>
          <w:rFonts w:hint="cs"/>
          <w:b/>
          <w:bCs/>
          <w:color w:val="000000"/>
          <w:rtl/>
        </w:rPr>
        <w:t xml:space="preserve"> </w:t>
      </w:r>
      <w:r>
        <w:rPr>
          <w:rFonts w:hint="cs"/>
          <w:b/>
          <w:bCs/>
          <w:color w:val="000000"/>
          <w:u w:val="single"/>
          <w:rtl/>
        </w:rPr>
        <w:t>_______________</w:t>
      </w:r>
      <w:r>
        <w:rPr>
          <w:b/>
          <w:bCs/>
          <w:color w:val="000000"/>
          <w:rtl/>
        </w:rPr>
        <w:tab/>
        <w:t>דוא</w:t>
      </w:r>
      <w:r>
        <w:rPr>
          <w:rFonts w:hint="cs"/>
          <w:b/>
          <w:bCs/>
          <w:color w:val="000000"/>
          <w:rtl/>
        </w:rPr>
        <w:t>"ל</w:t>
      </w:r>
      <w:r>
        <w:rPr>
          <w:b/>
          <w:bCs/>
          <w:color w:val="000000"/>
          <w:rtl/>
        </w:rPr>
        <w:t xml:space="preserve">: </w:t>
      </w:r>
      <w:r w:rsidR="00E81D30">
        <w:rPr>
          <w:rFonts w:hint="cs"/>
          <w:b/>
          <w:bCs/>
          <w:color w:val="000000"/>
          <w:u w:val="single"/>
          <w:rtl/>
        </w:rPr>
        <w:t>_______________</w:t>
      </w:r>
    </w:p>
    <w:p w14:paraId="6543AD8B" w14:textId="7EAB7920" w:rsidR="008830E8" w:rsidRDefault="00581E30" w:rsidP="005A2E6E">
      <w:pPr>
        <w:tabs>
          <w:tab w:val="left" w:pos="1656"/>
          <w:tab w:val="left" w:pos="4349"/>
          <w:tab w:val="left" w:pos="4491"/>
          <w:tab w:val="left" w:pos="9027"/>
        </w:tabs>
        <w:bidi/>
        <w:rPr>
          <w:b/>
          <w:bCs/>
          <w:color w:val="000000"/>
          <w:rtl/>
        </w:rPr>
      </w:pPr>
      <w:r>
        <w:rPr>
          <w:b/>
          <w:bCs/>
          <w:color w:val="000000"/>
          <w:rtl/>
        </w:rPr>
        <w:t xml:space="preserve">שם: </w:t>
      </w:r>
      <w:r w:rsidR="00E81D30">
        <w:rPr>
          <w:rFonts w:eastAsia="Times New Roman" w:hint="cs"/>
          <w:b/>
          <w:bCs/>
          <w:u w:val="single"/>
          <w:rtl/>
        </w:rPr>
        <w:t>__________</w:t>
      </w:r>
      <w:r>
        <w:rPr>
          <w:rFonts w:eastAsia="Times New Roman"/>
          <w:rtl/>
        </w:rPr>
        <w:tab/>
      </w:r>
      <w:r>
        <w:rPr>
          <w:rFonts w:eastAsia="Times New Roman" w:hint="cs"/>
          <w:rtl/>
        </w:rPr>
        <w:t xml:space="preserve">  </w:t>
      </w:r>
      <w:r>
        <w:rPr>
          <w:rFonts w:hint="cs"/>
          <w:b/>
          <w:bCs/>
          <w:color w:val="000000"/>
          <w:rtl/>
        </w:rPr>
        <w:t>טלפון</w:t>
      </w:r>
      <w:r>
        <w:rPr>
          <w:b/>
          <w:bCs/>
          <w:color w:val="000000"/>
          <w:rtl/>
        </w:rPr>
        <w:t>:</w:t>
      </w:r>
      <w:r>
        <w:rPr>
          <w:rFonts w:hint="cs"/>
          <w:b/>
          <w:bCs/>
          <w:color w:val="000000"/>
          <w:rtl/>
        </w:rPr>
        <w:t xml:space="preserve"> </w:t>
      </w:r>
      <w:r w:rsidR="005A2E6E">
        <w:rPr>
          <w:rFonts w:hint="cs"/>
          <w:b/>
          <w:bCs/>
          <w:color w:val="000000"/>
          <w:u w:val="single"/>
          <w:rtl/>
        </w:rPr>
        <w:t>_______________</w:t>
      </w:r>
      <w:r>
        <w:rPr>
          <w:b/>
          <w:bCs/>
          <w:color w:val="000000"/>
          <w:rtl/>
        </w:rPr>
        <w:tab/>
        <w:t>דוא</w:t>
      </w:r>
      <w:r>
        <w:rPr>
          <w:rFonts w:hint="cs"/>
          <w:b/>
          <w:bCs/>
          <w:color w:val="000000"/>
          <w:rtl/>
        </w:rPr>
        <w:t>"ל</w:t>
      </w:r>
      <w:r>
        <w:rPr>
          <w:b/>
          <w:bCs/>
          <w:color w:val="000000"/>
          <w:rtl/>
        </w:rPr>
        <w:t xml:space="preserve">: </w:t>
      </w:r>
      <w:r w:rsidR="00E81D30">
        <w:rPr>
          <w:rFonts w:hint="cs"/>
          <w:b/>
          <w:bCs/>
          <w:color w:val="000000"/>
          <w:u w:val="single"/>
          <w:rtl/>
        </w:rPr>
        <w:t>_______________</w:t>
      </w:r>
    </w:p>
    <w:p w14:paraId="4E405125" w14:textId="39302E77" w:rsidR="005A2E6E" w:rsidRDefault="005A2E6E" w:rsidP="005A2E6E">
      <w:pPr>
        <w:tabs>
          <w:tab w:val="left" w:pos="1656"/>
          <w:tab w:val="left" w:pos="4349"/>
          <w:tab w:val="left" w:pos="4491"/>
          <w:tab w:val="left" w:pos="9027"/>
        </w:tabs>
        <w:bidi/>
        <w:rPr>
          <w:b/>
          <w:bCs/>
          <w:color w:val="000000"/>
          <w:rtl/>
        </w:rPr>
      </w:pPr>
      <w:r>
        <w:rPr>
          <w:b/>
          <w:bCs/>
          <w:color w:val="000000"/>
          <w:rtl/>
        </w:rPr>
        <w:t xml:space="preserve">שם: </w:t>
      </w:r>
      <w:r>
        <w:rPr>
          <w:rFonts w:eastAsia="Times New Roman" w:hint="cs"/>
          <w:b/>
          <w:bCs/>
          <w:u w:val="single"/>
          <w:rtl/>
        </w:rPr>
        <w:t>__________</w:t>
      </w:r>
      <w:r>
        <w:rPr>
          <w:rFonts w:eastAsia="Times New Roman"/>
          <w:rtl/>
        </w:rPr>
        <w:tab/>
      </w:r>
      <w:r>
        <w:rPr>
          <w:rFonts w:eastAsia="Times New Roman" w:hint="cs"/>
          <w:rtl/>
        </w:rPr>
        <w:t xml:space="preserve">  </w:t>
      </w:r>
      <w:r>
        <w:rPr>
          <w:rFonts w:hint="cs"/>
          <w:b/>
          <w:bCs/>
          <w:color w:val="000000"/>
          <w:rtl/>
        </w:rPr>
        <w:t>טלפון</w:t>
      </w:r>
      <w:r>
        <w:rPr>
          <w:b/>
          <w:bCs/>
          <w:color w:val="000000"/>
          <w:rtl/>
        </w:rPr>
        <w:t>:</w:t>
      </w:r>
      <w:r>
        <w:rPr>
          <w:rFonts w:hint="cs"/>
          <w:b/>
          <w:bCs/>
          <w:color w:val="000000"/>
          <w:rtl/>
        </w:rPr>
        <w:t xml:space="preserve"> </w:t>
      </w:r>
      <w:r>
        <w:rPr>
          <w:rFonts w:hint="cs"/>
          <w:b/>
          <w:bCs/>
          <w:color w:val="000000"/>
          <w:u w:val="single"/>
          <w:rtl/>
        </w:rPr>
        <w:t>_______________</w:t>
      </w:r>
      <w:r>
        <w:rPr>
          <w:b/>
          <w:bCs/>
          <w:color w:val="000000"/>
          <w:rtl/>
        </w:rPr>
        <w:tab/>
        <w:t>דוא</w:t>
      </w:r>
      <w:r>
        <w:rPr>
          <w:rFonts w:hint="cs"/>
          <w:b/>
          <w:bCs/>
          <w:color w:val="000000"/>
          <w:rtl/>
        </w:rPr>
        <w:t>"ל</w:t>
      </w:r>
      <w:r>
        <w:rPr>
          <w:b/>
          <w:bCs/>
          <w:color w:val="000000"/>
          <w:rtl/>
        </w:rPr>
        <w:t xml:space="preserve">: </w:t>
      </w:r>
      <w:r>
        <w:rPr>
          <w:rFonts w:hint="cs"/>
          <w:b/>
          <w:bCs/>
          <w:color w:val="000000"/>
          <w:u w:val="single"/>
          <w:rtl/>
        </w:rPr>
        <w:t>_______________</w:t>
      </w:r>
    </w:p>
    <w:p w14:paraId="6F20003B" w14:textId="061D533B" w:rsidR="006C4900" w:rsidRPr="00AA6882" w:rsidRDefault="006C4900" w:rsidP="006C4900">
      <w:pPr>
        <w:keepLines/>
        <w:tabs>
          <w:tab w:val="left" w:pos="9027"/>
        </w:tabs>
        <w:overflowPunct w:val="0"/>
        <w:autoSpaceDE w:val="0"/>
        <w:autoSpaceDN w:val="0"/>
        <w:bidi/>
        <w:adjustRightInd w:val="0"/>
        <w:spacing w:after="0" w:line="480" w:lineRule="auto"/>
        <w:textAlignment w:val="baseline"/>
        <w:rPr>
          <w:b/>
          <w:bCs/>
          <w:color w:val="000000"/>
          <w:rtl/>
        </w:rPr>
      </w:pPr>
      <w:r w:rsidRPr="00AA6882">
        <w:rPr>
          <w:rFonts w:hint="cs"/>
          <w:b/>
          <w:bCs/>
          <w:color w:val="000000"/>
          <w:rtl/>
        </w:rPr>
        <w:t xml:space="preserve">מהות </w:t>
      </w:r>
      <w:r w:rsidRPr="00AA6882">
        <w:rPr>
          <w:b/>
          <w:bCs/>
          <w:color w:val="000000"/>
          <w:rtl/>
        </w:rPr>
        <w:t xml:space="preserve"> העני</w:t>
      </w:r>
      <w:r w:rsidRPr="00AA6882">
        <w:rPr>
          <w:rFonts w:hint="cs"/>
          <w:b/>
          <w:bCs/>
          <w:color w:val="000000"/>
          <w:rtl/>
        </w:rPr>
        <w:t>י</w:t>
      </w:r>
      <w:r w:rsidRPr="00AA6882">
        <w:rPr>
          <w:b/>
          <w:bCs/>
          <w:color w:val="000000"/>
          <w:rtl/>
        </w:rPr>
        <w:t>ן:</w:t>
      </w:r>
      <w:r>
        <w:rPr>
          <w:rFonts w:hint="cs"/>
          <w:b/>
          <w:bCs/>
          <w:color w:val="000000"/>
          <w:u w:val="single"/>
          <w:rtl/>
        </w:rPr>
        <w:t xml:space="preserve"> קניין רוחני ובפרט </w:t>
      </w:r>
      <w:r w:rsidR="00DF1542">
        <w:rPr>
          <w:rFonts w:hint="cs"/>
          <w:b/>
          <w:bCs/>
          <w:color w:val="000000"/>
          <w:u w:val="single"/>
          <w:rtl/>
        </w:rPr>
        <w:t xml:space="preserve">בעלות </w:t>
      </w:r>
      <w:r>
        <w:rPr>
          <w:rFonts w:hint="cs"/>
          <w:b/>
          <w:bCs/>
          <w:color w:val="000000"/>
          <w:u w:val="single"/>
          <w:rtl/>
        </w:rPr>
        <w:t>באתר שביט סיגרים</w:t>
      </w:r>
      <w:r w:rsidR="00DF1542">
        <w:rPr>
          <w:rFonts w:hint="cs"/>
          <w:b/>
          <w:bCs/>
          <w:color w:val="000000"/>
          <w:u w:val="single"/>
          <w:rtl/>
        </w:rPr>
        <w:t>/ סימני מסחר</w:t>
      </w:r>
      <w:r>
        <w:rPr>
          <w:rFonts w:hint="cs"/>
          <w:b/>
          <w:bCs/>
          <w:color w:val="000000"/>
          <w:u w:val="single"/>
          <w:rtl/>
        </w:rPr>
        <w:t xml:space="preserve">. </w:t>
      </w:r>
      <w:r>
        <w:rPr>
          <w:b/>
          <w:bCs/>
          <w:color w:val="000000"/>
          <w:u w:val="single"/>
          <w:rtl/>
        </w:rPr>
        <w:tab/>
      </w:r>
    </w:p>
    <w:p w14:paraId="130E51A8" w14:textId="4C8FCB59" w:rsidR="00411787" w:rsidRDefault="00411787" w:rsidP="006C4900">
      <w:pPr>
        <w:bidi/>
        <w:jc w:val="both"/>
        <w:rPr>
          <w:color w:val="000000"/>
          <w:rtl/>
        </w:rPr>
      </w:pPr>
      <w:r>
        <w:rPr>
          <w:color w:val="000000"/>
          <w:rtl/>
        </w:rPr>
        <w:t xml:space="preserve">הסכם זה הינו הסכם מסגרת בין גלסברג, אפלבאום ושות', ח.פ. 514668615 (להלן: "המשרד") ובין הלקוח, ותנאיו יחולו על כל התקשרות עתידית בין הצדדים. הסכם זה יבוטל באמצעות הודעה מטעם אחד מן הצדדים. שכר הטרחה ישולם כפי שיקבע בין הצדדים לעניין מסוים. </w:t>
      </w:r>
      <w:r w:rsidRPr="00CB224C">
        <w:rPr>
          <w:rFonts w:hint="cs"/>
          <w:color w:val="000000"/>
          <w:rtl/>
        </w:rPr>
        <w:t>ככל שלא יקבע שכר טרחה כאמור, יחושב שכר הטרחה על פי התעריף המקובל במשרד במועד ביצוע המשימה נשוא התשלום, וזאת בהתאם למחירון המשרד.</w:t>
      </w:r>
    </w:p>
    <w:p w14:paraId="0CDAE76E" w14:textId="1400F0C2" w:rsidR="00411787" w:rsidRPr="009A0D52" w:rsidRDefault="009A0D52" w:rsidP="00411787">
      <w:pPr>
        <w:bidi/>
        <w:spacing w:line="256" w:lineRule="auto"/>
        <w:jc w:val="both"/>
        <w:rPr>
          <w:b/>
          <w:bCs/>
          <w:color w:val="1F4E79"/>
          <w:sz w:val="24"/>
          <w:szCs w:val="24"/>
          <w:rtl/>
        </w:rPr>
      </w:pPr>
      <w:r w:rsidRPr="009A0D52">
        <w:rPr>
          <w:rFonts w:hint="cs"/>
          <w:b/>
          <w:bCs/>
          <w:color w:val="1F4E79"/>
          <w:sz w:val="24"/>
          <w:szCs w:val="24"/>
          <w:rtl/>
        </w:rPr>
        <w:t>שכר הטרחה המוסכם:</w:t>
      </w:r>
    </w:p>
    <w:p w14:paraId="74898815" w14:textId="77777777" w:rsidR="001C5934" w:rsidRDefault="001C5934" w:rsidP="001C5934">
      <w:pPr>
        <w:pStyle w:val="ListParagraph"/>
        <w:keepLines/>
        <w:numPr>
          <w:ilvl w:val="0"/>
          <w:numId w:val="6"/>
        </w:numPr>
        <w:overflowPunct w:val="0"/>
        <w:autoSpaceDE w:val="0"/>
        <w:autoSpaceDN w:val="0"/>
        <w:bidi/>
        <w:adjustRightInd w:val="0"/>
        <w:spacing w:after="0" w:line="360" w:lineRule="auto"/>
        <w:jc w:val="both"/>
        <w:textAlignment w:val="baseline"/>
      </w:pPr>
      <w:r>
        <w:rPr>
          <w:rFonts w:hint="cs"/>
          <w:rtl/>
        </w:rPr>
        <w:t xml:space="preserve">מכתב התראה – 7,000 ₪ בתוספת מע"מ כדין; </w:t>
      </w:r>
    </w:p>
    <w:p w14:paraId="5B367ED8" w14:textId="77777777" w:rsidR="001C5934" w:rsidRDefault="001C5934" w:rsidP="001C5934">
      <w:pPr>
        <w:pStyle w:val="ListParagraph"/>
        <w:keepLines/>
        <w:numPr>
          <w:ilvl w:val="0"/>
          <w:numId w:val="6"/>
        </w:numPr>
        <w:overflowPunct w:val="0"/>
        <w:autoSpaceDE w:val="0"/>
        <w:autoSpaceDN w:val="0"/>
        <w:bidi/>
        <w:adjustRightInd w:val="0"/>
        <w:spacing w:after="0" w:line="360" w:lineRule="auto"/>
        <w:jc w:val="both"/>
        <w:textAlignment w:val="baseline"/>
      </w:pPr>
      <w:r>
        <w:rPr>
          <w:rFonts w:hint="cs"/>
          <w:rtl/>
        </w:rPr>
        <w:t xml:space="preserve">צו מניעה + הכנת כתב תביעה – 40,000 ₪, בתוספת מע"מ; </w:t>
      </w:r>
    </w:p>
    <w:p w14:paraId="54AD0FFD" w14:textId="77777777" w:rsidR="001C5934" w:rsidRDefault="001C5934" w:rsidP="001C5934">
      <w:pPr>
        <w:pStyle w:val="ListParagraph"/>
        <w:keepLines/>
        <w:numPr>
          <w:ilvl w:val="0"/>
          <w:numId w:val="6"/>
        </w:numPr>
        <w:overflowPunct w:val="0"/>
        <w:autoSpaceDE w:val="0"/>
        <w:autoSpaceDN w:val="0"/>
        <w:bidi/>
        <w:adjustRightInd w:val="0"/>
        <w:spacing w:after="0" w:line="360" w:lineRule="auto"/>
        <w:jc w:val="both"/>
        <w:textAlignment w:val="baseline"/>
      </w:pPr>
      <w:r>
        <w:rPr>
          <w:rFonts w:hint="cs"/>
          <w:rtl/>
        </w:rPr>
        <w:t xml:space="preserve">הגשת תצהירים וניהול חקירות – 15,000 ₪ בתוספת מע"מ; </w:t>
      </w:r>
    </w:p>
    <w:p w14:paraId="0E4B4FDA" w14:textId="77777777" w:rsidR="001C5934" w:rsidRDefault="001C5934" w:rsidP="001C5934">
      <w:pPr>
        <w:pStyle w:val="ListParagraph"/>
        <w:keepLines/>
        <w:numPr>
          <w:ilvl w:val="0"/>
          <w:numId w:val="6"/>
        </w:numPr>
        <w:overflowPunct w:val="0"/>
        <w:autoSpaceDE w:val="0"/>
        <w:autoSpaceDN w:val="0"/>
        <w:bidi/>
        <w:adjustRightInd w:val="0"/>
        <w:spacing w:after="0" w:line="360" w:lineRule="auto"/>
        <w:jc w:val="both"/>
        <w:textAlignment w:val="baseline"/>
      </w:pPr>
      <w:r>
        <w:rPr>
          <w:rFonts w:hint="cs"/>
          <w:rtl/>
        </w:rPr>
        <w:t xml:space="preserve">סיכומים – 15,000 ₪ בתוספת מע"מ. </w:t>
      </w:r>
    </w:p>
    <w:p w14:paraId="08FB091B" w14:textId="77777777" w:rsidR="00411787" w:rsidRDefault="00411787" w:rsidP="00411787">
      <w:pPr>
        <w:bidi/>
        <w:rPr>
          <w:b/>
          <w:bCs/>
          <w:color w:val="1F4E79"/>
          <w:sz w:val="24"/>
          <w:szCs w:val="24"/>
        </w:rPr>
      </w:pPr>
      <w:r>
        <w:rPr>
          <w:b/>
          <w:bCs/>
          <w:color w:val="1F4E79"/>
          <w:sz w:val="24"/>
          <w:szCs w:val="24"/>
          <w:rtl/>
        </w:rPr>
        <w:t xml:space="preserve">תנאי התשלום והערות: </w:t>
      </w:r>
    </w:p>
    <w:p w14:paraId="42B1D20B" w14:textId="77777777" w:rsidR="001C5934" w:rsidRPr="00390176" w:rsidRDefault="001C5934" w:rsidP="001C5934">
      <w:pPr>
        <w:bidi/>
        <w:rPr>
          <w:b/>
          <w:bCs/>
          <w:color w:val="1F4E79"/>
          <w:sz w:val="24"/>
          <w:szCs w:val="24"/>
          <w:rtl/>
        </w:rPr>
      </w:pPr>
      <w:r w:rsidRPr="00390176">
        <w:rPr>
          <w:b/>
          <w:bCs/>
          <w:color w:val="1F4E79"/>
          <w:sz w:val="24"/>
          <w:szCs w:val="24"/>
          <w:rtl/>
        </w:rPr>
        <w:t>תנאי התשלום והערות:</w:t>
      </w:r>
      <w:r w:rsidRPr="00390176">
        <w:rPr>
          <w:rFonts w:hint="cs"/>
          <w:b/>
          <w:bCs/>
          <w:color w:val="1F4E79"/>
          <w:sz w:val="24"/>
          <w:szCs w:val="24"/>
          <w:rtl/>
        </w:rPr>
        <w:t xml:space="preserve"> </w:t>
      </w:r>
    </w:p>
    <w:p w14:paraId="3AD3C0B2" w14:textId="77777777" w:rsidR="001C5934" w:rsidRPr="0091169A" w:rsidRDefault="001C5934" w:rsidP="001C5934">
      <w:pPr>
        <w:numPr>
          <w:ilvl w:val="0"/>
          <w:numId w:val="4"/>
        </w:numPr>
        <w:bidi/>
        <w:jc w:val="both"/>
        <w:rPr>
          <w:color w:val="000000"/>
        </w:rPr>
      </w:pPr>
      <w:r w:rsidRPr="0091169A">
        <w:rPr>
          <w:color w:val="000000"/>
          <w:rtl/>
        </w:rPr>
        <w:t xml:space="preserve">שכר </w:t>
      </w:r>
      <w:r w:rsidRPr="0091169A">
        <w:rPr>
          <w:rFonts w:hint="cs"/>
          <w:color w:val="000000"/>
          <w:rtl/>
        </w:rPr>
        <w:t>הטרחה</w:t>
      </w:r>
      <w:r w:rsidRPr="0091169A">
        <w:rPr>
          <w:color w:val="000000"/>
          <w:rtl/>
        </w:rPr>
        <w:t xml:space="preserve"> אינו כולל: אגרות והוצאות</w:t>
      </w:r>
      <w:r>
        <w:rPr>
          <w:rFonts w:hint="cs"/>
          <w:color w:val="000000"/>
          <w:rtl/>
        </w:rPr>
        <w:t>. ככל שכ"ט שייפסק על ידי ביהמ"ש יהיה גבוה משכ"ט ששולם למשרד</w:t>
      </w:r>
      <w:r w:rsidRPr="0091169A">
        <w:rPr>
          <w:color w:val="000000"/>
          <w:rtl/>
        </w:rPr>
        <w:t>,</w:t>
      </w:r>
      <w:r>
        <w:rPr>
          <w:rFonts w:hint="cs"/>
          <w:color w:val="000000"/>
          <w:rtl/>
        </w:rPr>
        <w:t xml:space="preserve"> המשרד יהיה זכאי להפרש שבין שכ"ט שנפסק לבין שכ"ט ששולם בפועל</w:t>
      </w:r>
      <w:r w:rsidRPr="0091169A">
        <w:rPr>
          <w:rFonts w:hint="cs"/>
          <w:color w:val="000000"/>
          <w:rtl/>
        </w:rPr>
        <w:t>;</w:t>
      </w:r>
    </w:p>
    <w:p w14:paraId="68943831" w14:textId="77777777" w:rsidR="001C5934" w:rsidRPr="0091169A" w:rsidRDefault="001C5934" w:rsidP="001C5934">
      <w:pPr>
        <w:numPr>
          <w:ilvl w:val="0"/>
          <w:numId w:val="4"/>
        </w:numPr>
        <w:bidi/>
        <w:jc w:val="both"/>
        <w:rPr>
          <w:color w:val="000000"/>
        </w:rPr>
      </w:pPr>
      <w:r w:rsidRPr="0091169A">
        <w:rPr>
          <w:color w:val="000000"/>
          <w:rtl/>
        </w:rPr>
        <w:t xml:space="preserve">שכר הטרחה אינו כולל טיפול בהוצאה לפועל ואינו כולל </w:t>
      </w:r>
      <w:r w:rsidRPr="0091169A">
        <w:rPr>
          <w:rFonts w:hint="cs"/>
          <w:color w:val="000000"/>
          <w:rtl/>
        </w:rPr>
        <w:t xml:space="preserve">עררים או </w:t>
      </w:r>
      <w:r w:rsidRPr="0091169A">
        <w:rPr>
          <w:color w:val="000000"/>
          <w:rtl/>
        </w:rPr>
        <w:t>ערעורים לביהמ"ש העליון</w:t>
      </w:r>
      <w:r w:rsidRPr="0091169A">
        <w:rPr>
          <w:rFonts w:hint="cs"/>
          <w:color w:val="000000"/>
          <w:rtl/>
        </w:rPr>
        <w:t xml:space="preserve">, לבית הדין הארצי לעבודה </w:t>
      </w:r>
      <w:r w:rsidRPr="0091169A">
        <w:rPr>
          <w:color w:val="000000"/>
          <w:rtl/>
        </w:rPr>
        <w:t>או לכל</w:t>
      </w:r>
      <w:r w:rsidRPr="0091169A">
        <w:rPr>
          <w:rFonts w:hint="cs"/>
          <w:color w:val="000000"/>
          <w:rtl/>
        </w:rPr>
        <w:t xml:space="preserve"> </w:t>
      </w:r>
      <w:r w:rsidRPr="0091169A">
        <w:rPr>
          <w:color w:val="000000"/>
          <w:rtl/>
        </w:rPr>
        <w:t>ערכאה אחרת</w:t>
      </w:r>
      <w:r w:rsidRPr="0091169A">
        <w:rPr>
          <w:rFonts w:hint="cs"/>
          <w:color w:val="000000"/>
          <w:rtl/>
        </w:rPr>
        <w:t>;</w:t>
      </w:r>
    </w:p>
    <w:p w14:paraId="193C8D3D" w14:textId="77777777" w:rsidR="001C5934" w:rsidRPr="0091169A" w:rsidRDefault="001C5934" w:rsidP="001C5934">
      <w:pPr>
        <w:numPr>
          <w:ilvl w:val="0"/>
          <w:numId w:val="4"/>
        </w:numPr>
        <w:bidi/>
        <w:jc w:val="both"/>
        <w:rPr>
          <w:color w:val="000000"/>
        </w:rPr>
      </w:pPr>
      <w:r>
        <w:rPr>
          <w:rFonts w:hint="cs"/>
          <w:color w:val="000000"/>
          <w:rtl/>
        </w:rPr>
        <w:t xml:space="preserve">המשרד </w:t>
      </w:r>
      <w:r w:rsidRPr="0091169A">
        <w:rPr>
          <w:rFonts w:hint="cs"/>
          <w:color w:val="000000"/>
          <w:rtl/>
        </w:rPr>
        <w:t>ינפיק ללקוח חשבונות מפעם לפעם בגין שכר הטרחה והוצאות. שכר טרחה ישולם תוך 30 יום ממועד הנפקת החשבון. הוצאות ישולמו תוך 7 ימים מדרישה</w:t>
      </w:r>
      <w:r>
        <w:rPr>
          <w:rFonts w:hint="cs"/>
          <w:color w:val="000000"/>
          <w:rtl/>
        </w:rPr>
        <w:t>, למעט אם הוסכם אחרת</w:t>
      </w:r>
      <w:r w:rsidRPr="0091169A">
        <w:rPr>
          <w:rFonts w:hint="cs"/>
          <w:color w:val="000000"/>
          <w:rtl/>
        </w:rPr>
        <w:t>.</w:t>
      </w:r>
    </w:p>
    <w:p w14:paraId="4303240B" w14:textId="77777777" w:rsidR="001C5934" w:rsidRPr="00CB224C" w:rsidRDefault="001C5934" w:rsidP="001C5934">
      <w:pPr>
        <w:numPr>
          <w:ilvl w:val="0"/>
          <w:numId w:val="4"/>
        </w:numPr>
        <w:bidi/>
        <w:jc w:val="both"/>
        <w:rPr>
          <w:color w:val="000000"/>
        </w:rPr>
      </w:pPr>
      <w:r w:rsidRPr="00CB224C">
        <w:rPr>
          <w:rFonts w:hint="cs"/>
          <w:color w:val="000000"/>
          <w:rtl/>
        </w:rPr>
        <w:t>בהעדר הסכם אחר, שכר הטרחה ישולם בתוך 30 יום ממועד שבו המשרד מקבל הוראה לפעול בעניין כלשהו. אגרות והוצאות אחרות ישולמו מיד עם דרישה.</w:t>
      </w:r>
      <w:r>
        <w:rPr>
          <w:rFonts w:hint="cs"/>
          <w:color w:val="000000"/>
          <w:rtl/>
        </w:rPr>
        <w:t xml:space="preserve"> המשרד רשאי לעכב תחילת עבודה עד ביצוע תשלום בפועל.</w:t>
      </w:r>
    </w:p>
    <w:p w14:paraId="6A8A8D64" w14:textId="77777777" w:rsidR="001C5934" w:rsidRPr="00CB224C" w:rsidRDefault="001C5934" w:rsidP="001C5934">
      <w:pPr>
        <w:numPr>
          <w:ilvl w:val="0"/>
          <w:numId w:val="4"/>
        </w:numPr>
        <w:bidi/>
        <w:jc w:val="both"/>
        <w:rPr>
          <w:color w:val="000000"/>
        </w:rPr>
      </w:pPr>
      <w:r w:rsidRPr="00CB224C">
        <w:rPr>
          <w:rFonts w:hint="cs"/>
          <w:color w:val="000000"/>
          <w:rtl/>
        </w:rPr>
        <w:t>באם המשרד יתבקש לבצע פעולות נוספות, לרבות ייעוץ, מעבר לאלו שהוסכם עליהן מפורשות לעיל, ובהעדר הסכמה אחרת, ייגבה שכר טרחה בהתאם לתעריפון המשרד הנהוג באותו מועד, אשר ייגבה על בסיס חודשי. תעריפון המשרד הנוכחי הועבר ללקוח.</w:t>
      </w:r>
    </w:p>
    <w:p w14:paraId="605F1589" w14:textId="77777777" w:rsidR="001C5934" w:rsidRDefault="001C5934" w:rsidP="001C5934">
      <w:pPr>
        <w:numPr>
          <w:ilvl w:val="0"/>
          <w:numId w:val="4"/>
        </w:numPr>
        <w:bidi/>
        <w:jc w:val="both"/>
        <w:rPr>
          <w:color w:val="000000"/>
        </w:rPr>
      </w:pPr>
      <w:r w:rsidRPr="00CB224C">
        <w:rPr>
          <w:rFonts w:hint="cs"/>
          <w:color w:val="000000"/>
          <w:rtl/>
        </w:rPr>
        <w:t xml:space="preserve">שכר הטרחה ישולם במלואו אף במקרה בו יבקש הלקוח את הפסקת הטיפול בעניינו טרם סיום העניין שבטיפול. </w:t>
      </w:r>
    </w:p>
    <w:p w14:paraId="3ACA0B4D" w14:textId="77777777" w:rsidR="001C5934" w:rsidRPr="00CB224C" w:rsidRDefault="001C5934" w:rsidP="001C5934">
      <w:pPr>
        <w:numPr>
          <w:ilvl w:val="0"/>
          <w:numId w:val="4"/>
        </w:numPr>
        <w:bidi/>
        <w:jc w:val="both"/>
        <w:rPr>
          <w:color w:val="000000"/>
          <w:rtl/>
        </w:rPr>
      </w:pPr>
      <w:r w:rsidRPr="00CB224C">
        <w:rPr>
          <w:rFonts w:hint="cs"/>
          <w:color w:val="000000"/>
          <w:rtl/>
        </w:rPr>
        <w:t>שכר טרחה שלא ישולם במועד י</w:t>
      </w:r>
      <w:r>
        <w:rPr>
          <w:rFonts w:hint="cs"/>
          <w:color w:val="000000"/>
          <w:rtl/>
        </w:rPr>
        <w:t>י</w:t>
      </w:r>
      <w:r w:rsidRPr="00CB224C">
        <w:rPr>
          <w:rFonts w:hint="cs"/>
          <w:color w:val="000000"/>
          <w:rtl/>
        </w:rPr>
        <w:t>שא הפרשי הצמדה למדד וכן ריבית מצטברת וצמודה בשיעור של ריבית דיביטורית של בנק לאומי לישראל</w:t>
      </w:r>
      <w:r>
        <w:rPr>
          <w:rFonts w:hint="cs"/>
          <w:color w:val="000000"/>
          <w:rtl/>
        </w:rPr>
        <w:t xml:space="preserve"> ללקוחות פרטיים</w:t>
      </w:r>
      <w:r w:rsidRPr="00CB224C">
        <w:rPr>
          <w:rFonts w:hint="cs"/>
          <w:color w:val="000000"/>
          <w:rtl/>
        </w:rPr>
        <w:t>.</w:t>
      </w:r>
    </w:p>
    <w:p w14:paraId="32371E80" w14:textId="77777777" w:rsidR="001C5934" w:rsidRPr="00CB224C" w:rsidRDefault="001C5934" w:rsidP="001C5934">
      <w:pPr>
        <w:numPr>
          <w:ilvl w:val="0"/>
          <w:numId w:val="4"/>
        </w:numPr>
        <w:bidi/>
        <w:jc w:val="both"/>
        <w:rPr>
          <w:color w:val="000000"/>
        </w:rPr>
      </w:pPr>
      <w:r w:rsidRPr="00CB224C">
        <w:rPr>
          <w:rFonts w:hint="cs"/>
          <w:color w:val="000000"/>
          <w:rtl/>
        </w:rPr>
        <w:lastRenderedPageBreak/>
        <w:t>המשרד</w:t>
      </w:r>
      <w:r w:rsidRPr="00CB224C">
        <w:rPr>
          <w:color w:val="000000"/>
          <w:rtl/>
        </w:rPr>
        <w:t xml:space="preserve"> יהיה זכאי לקזז מכספי</w:t>
      </w:r>
      <w:r w:rsidRPr="00CB224C">
        <w:rPr>
          <w:color w:val="000000"/>
        </w:rPr>
        <w:t xml:space="preserve"> </w:t>
      </w:r>
      <w:r w:rsidRPr="00CB224C">
        <w:rPr>
          <w:color w:val="000000"/>
          <w:rtl/>
        </w:rPr>
        <w:t>לקוח המופקדים אצלו בנאמנות או בכל דרך אחרת כל חוב עבור שכ"ט או הוצאות.</w:t>
      </w:r>
    </w:p>
    <w:p w14:paraId="0799DADD" w14:textId="77777777" w:rsidR="001C5934" w:rsidRPr="0091169A" w:rsidRDefault="001C5934" w:rsidP="001C5934">
      <w:pPr>
        <w:numPr>
          <w:ilvl w:val="0"/>
          <w:numId w:val="4"/>
        </w:numPr>
        <w:bidi/>
        <w:jc w:val="both"/>
        <w:rPr>
          <w:color w:val="000000"/>
        </w:rPr>
      </w:pPr>
      <w:r w:rsidRPr="0091169A">
        <w:rPr>
          <w:color w:val="000000"/>
          <w:rtl/>
        </w:rPr>
        <w:t xml:space="preserve">לא שולמה </w:t>
      </w:r>
      <w:r w:rsidRPr="0091169A">
        <w:rPr>
          <w:rFonts w:hint="cs"/>
          <w:color w:val="000000"/>
          <w:rtl/>
        </w:rPr>
        <w:t xml:space="preserve">על ידי הלקוח </w:t>
      </w:r>
      <w:r w:rsidRPr="0091169A">
        <w:rPr>
          <w:color w:val="000000"/>
          <w:rtl/>
        </w:rPr>
        <w:t xml:space="preserve">יתרת שכר </w:t>
      </w:r>
      <w:r w:rsidRPr="0091169A">
        <w:rPr>
          <w:rFonts w:hint="cs"/>
          <w:color w:val="000000"/>
          <w:rtl/>
        </w:rPr>
        <w:t>הטרחה</w:t>
      </w:r>
      <w:r w:rsidRPr="0091169A">
        <w:rPr>
          <w:color w:val="000000"/>
          <w:rtl/>
        </w:rPr>
        <w:t xml:space="preserve"> במועד, או לא שולם השכר עבור ישיב</w:t>
      </w:r>
      <w:r w:rsidRPr="0091169A">
        <w:rPr>
          <w:rFonts w:hint="cs"/>
          <w:color w:val="000000"/>
          <w:rtl/>
        </w:rPr>
        <w:t>ת</w:t>
      </w:r>
      <w:r w:rsidRPr="0091169A">
        <w:rPr>
          <w:color w:val="000000"/>
          <w:rtl/>
        </w:rPr>
        <w:t xml:space="preserve"> ביהמ"ש במועד, </w:t>
      </w:r>
      <w:r>
        <w:rPr>
          <w:rFonts w:hint="cs"/>
          <w:color w:val="000000"/>
          <w:rtl/>
        </w:rPr>
        <w:t xml:space="preserve">המשרד </w:t>
      </w:r>
      <w:r w:rsidRPr="0091169A">
        <w:rPr>
          <w:color w:val="000000"/>
          <w:rtl/>
        </w:rPr>
        <w:t xml:space="preserve">יהיה רשאי להתפטר מהייצוג, ושכר </w:t>
      </w:r>
      <w:r w:rsidRPr="0091169A">
        <w:rPr>
          <w:rFonts w:hint="cs"/>
          <w:color w:val="000000"/>
          <w:rtl/>
        </w:rPr>
        <w:t>הטרחה</w:t>
      </w:r>
      <w:r w:rsidRPr="0091169A">
        <w:rPr>
          <w:color w:val="000000"/>
          <w:rtl/>
        </w:rPr>
        <w:t xml:space="preserve"> ששולם עד כה לא יוחזר, זאת מבלי לגרוע מזכותו של </w:t>
      </w:r>
      <w:r>
        <w:rPr>
          <w:rFonts w:hint="cs"/>
          <w:color w:val="000000"/>
          <w:rtl/>
        </w:rPr>
        <w:t>המשרד</w:t>
      </w:r>
      <w:r w:rsidRPr="0091169A">
        <w:rPr>
          <w:color w:val="000000"/>
          <w:rtl/>
        </w:rPr>
        <w:t xml:space="preserve"> לתבוע את יתרת שכר </w:t>
      </w:r>
      <w:r w:rsidRPr="0091169A">
        <w:rPr>
          <w:rFonts w:hint="cs"/>
          <w:color w:val="000000"/>
          <w:rtl/>
        </w:rPr>
        <w:t>הטרחה</w:t>
      </w:r>
      <w:r>
        <w:rPr>
          <w:rFonts w:hint="cs"/>
          <w:color w:val="000000"/>
          <w:rtl/>
        </w:rPr>
        <w:t>, לרבות שכ"ט המבוסס על תוצאות ההליך</w:t>
      </w:r>
      <w:r w:rsidRPr="0091169A">
        <w:rPr>
          <w:color w:val="000000"/>
          <w:rtl/>
        </w:rPr>
        <w:t xml:space="preserve">. </w:t>
      </w:r>
    </w:p>
    <w:p w14:paraId="346DF2E7" w14:textId="77777777" w:rsidR="001C5934" w:rsidRPr="0091169A" w:rsidRDefault="001C5934" w:rsidP="001C5934">
      <w:pPr>
        <w:numPr>
          <w:ilvl w:val="0"/>
          <w:numId w:val="4"/>
        </w:numPr>
        <w:bidi/>
        <w:jc w:val="both"/>
        <w:rPr>
          <w:color w:val="000000"/>
          <w:rtl/>
        </w:rPr>
      </w:pPr>
      <w:r w:rsidRPr="0091169A">
        <w:rPr>
          <w:rFonts w:hint="cs"/>
          <w:color w:val="000000"/>
          <w:rtl/>
        </w:rPr>
        <w:t>שכר הטרחה ישולם במלואו גם במקרה של פשרה.</w:t>
      </w:r>
    </w:p>
    <w:p w14:paraId="790C5E9B" w14:textId="77777777" w:rsidR="001C5934" w:rsidRDefault="001C5934" w:rsidP="001C5934">
      <w:pPr>
        <w:numPr>
          <w:ilvl w:val="0"/>
          <w:numId w:val="4"/>
        </w:numPr>
        <w:bidi/>
        <w:jc w:val="both"/>
        <w:rPr>
          <w:color w:val="000000"/>
        </w:rPr>
      </w:pPr>
      <w:r>
        <w:rPr>
          <w:rFonts w:hint="cs"/>
          <w:color w:val="000000"/>
          <w:rtl/>
        </w:rPr>
        <w:t xml:space="preserve">הלקוח מאשר למשרד להציג את שמו וסימנו של הלקוח במסגרת אתר האינטרנט של המשרד או בכל מסגרת דומה אחרת. </w:t>
      </w:r>
    </w:p>
    <w:p w14:paraId="6A966694" w14:textId="77777777" w:rsidR="001C5934" w:rsidRPr="00CB224C" w:rsidRDefault="001C5934" w:rsidP="001C5934">
      <w:pPr>
        <w:numPr>
          <w:ilvl w:val="0"/>
          <w:numId w:val="4"/>
        </w:numPr>
        <w:bidi/>
        <w:jc w:val="both"/>
        <w:rPr>
          <w:color w:val="000000"/>
        </w:rPr>
      </w:pPr>
      <w:r w:rsidRPr="00CB224C">
        <w:rPr>
          <w:rFonts w:hint="cs"/>
          <w:color w:val="000000"/>
          <w:rtl/>
        </w:rPr>
        <w:t>המשרד רשאי לשלוח ללקוח ולאיש הקשר דברי פרסומת, לרבות ניוזלטר והודעות כלליות, באמצעות הדוא"ל. מובהר כי לנמען תהיה שמורה הזכות לבקש את הסרתו מכל רשימת תפוצה בכל עת.</w:t>
      </w:r>
    </w:p>
    <w:p w14:paraId="252AFC5A" w14:textId="77777777" w:rsidR="001C5934" w:rsidRDefault="001C5934" w:rsidP="001C5934">
      <w:pPr>
        <w:numPr>
          <w:ilvl w:val="0"/>
          <w:numId w:val="4"/>
        </w:numPr>
        <w:bidi/>
        <w:spacing w:line="256" w:lineRule="auto"/>
        <w:ind w:hanging="743"/>
        <w:jc w:val="both"/>
        <w:rPr>
          <w:color w:val="000000"/>
        </w:rPr>
      </w:pPr>
      <w:r>
        <w:rPr>
          <w:color w:val="000000"/>
          <w:rtl/>
        </w:rPr>
        <w:t xml:space="preserve">איש הקשר המוסמך של החברה מוסמך מטעמה לתת כל הוראה למשרד. ככל שהלקוח מעוניין להחליף איש קשר או להוסיף איש קשר נוסף, הלקוח יעביר הוראה מתאימה. במידה והלקוח הינו תאגיד, הלקוח יעביר את ההוראה באמצעות איש הקשר המוסמך או על ידי מורשה </w:t>
      </w:r>
      <w:r>
        <w:rPr>
          <w:rFonts w:hint="cs"/>
          <w:color w:val="000000"/>
        </w:rPr>
        <w:t xml:space="preserve"> </w:t>
      </w:r>
      <w:r>
        <w:rPr>
          <w:color w:val="000000"/>
          <w:rtl/>
        </w:rPr>
        <w:t xml:space="preserve">חתימה של התאגיד. </w:t>
      </w:r>
    </w:p>
    <w:p w14:paraId="26EA28CA" w14:textId="631FA20B" w:rsidR="001C5934" w:rsidRPr="0091169A" w:rsidRDefault="001C5934" w:rsidP="001C5934">
      <w:pPr>
        <w:numPr>
          <w:ilvl w:val="0"/>
          <w:numId w:val="4"/>
        </w:numPr>
        <w:bidi/>
        <w:jc w:val="both"/>
        <w:rPr>
          <w:color w:val="000000"/>
        </w:rPr>
      </w:pPr>
      <w:r w:rsidRPr="0091169A">
        <w:rPr>
          <w:rFonts w:hint="cs"/>
          <w:color w:val="000000"/>
          <w:rtl/>
        </w:rPr>
        <w:t>בכל מקרה של מחלוקת בין הצדדים בנוגע להסכם זה יובא העניין להחלטת בורר יחיד שימונה ע"י יו"ר לשכת עורכי הדין במחוז ת"א. חתימת הצדדים על הסכם זה כמוה כחתימה על הסכם בוררות.</w:t>
      </w:r>
    </w:p>
    <w:p w14:paraId="0991F6A9" w14:textId="77777777" w:rsidR="008830E8" w:rsidRDefault="00581E30">
      <w:pPr>
        <w:numPr>
          <w:ilvl w:val="0"/>
          <w:numId w:val="4"/>
        </w:numPr>
        <w:bidi/>
        <w:spacing w:line="256" w:lineRule="auto"/>
        <w:ind w:hanging="743"/>
        <w:jc w:val="both"/>
        <w:rPr>
          <w:color w:val="000000"/>
        </w:rPr>
      </w:pPr>
      <w:r>
        <w:rPr>
          <w:color w:val="000000"/>
          <w:rtl/>
        </w:rPr>
        <w:t xml:space="preserve">במקרה של מחלוקת אשר לא תידון בפני בורר כאמור לעיל, תוקנה סמכות בלעדית לדון בעניין לבית המשפט הרלוונטי במחוז תל אביב. </w:t>
      </w:r>
    </w:p>
    <w:p w14:paraId="3FB07248" w14:textId="77777777" w:rsidR="008830E8" w:rsidRDefault="008830E8">
      <w:pPr>
        <w:bidi/>
        <w:ind w:left="720"/>
        <w:rPr>
          <w:color w:val="000000"/>
        </w:rPr>
      </w:pPr>
    </w:p>
    <w:p w14:paraId="6F1D1988" w14:textId="77777777" w:rsidR="008830E8" w:rsidRDefault="00581E30">
      <w:pPr>
        <w:bidi/>
        <w:ind w:left="720"/>
        <w:rPr>
          <w:b/>
          <w:bCs/>
          <w:color w:val="000000"/>
          <w:rtl/>
        </w:rPr>
      </w:pPr>
      <w:r>
        <w:rPr>
          <w:b/>
          <w:bCs/>
          <w:color w:val="000000"/>
          <w:rtl/>
        </w:rPr>
        <w:t xml:space="preserve">אני מצהיר בזאת כי אני מורשה חתימה מטעם הלקוח ויש בחתימתי כדי לחייבו, על פי כל דין. </w:t>
      </w:r>
      <w:r>
        <w:rPr>
          <w:rFonts w:hint="cs"/>
          <w:b/>
          <w:bCs/>
          <w:color w:val="000000"/>
          <w:rtl/>
        </w:rPr>
        <w:t>אני ערב לחיוביו של הלקוח, ומאשר זאת בחתימתי.</w:t>
      </w:r>
    </w:p>
    <w:p w14:paraId="4A696D64" w14:textId="77777777" w:rsidR="008830E8" w:rsidRDefault="008830E8">
      <w:pPr>
        <w:bidi/>
        <w:rPr>
          <w:color w:val="000000"/>
          <w:rtl/>
        </w:rPr>
      </w:pPr>
    </w:p>
    <w:tbl>
      <w:tblPr>
        <w:bidiVisual/>
        <w:tblW w:w="7938" w:type="dxa"/>
        <w:tblInd w:w="673" w:type="dxa"/>
        <w:tblLook w:val="04A0" w:firstRow="1" w:lastRow="0" w:firstColumn="1" w:lastColumn="0" w:noHBand="0" w:noVBand="1"/>
      </w:tblPr>
      <w:tblGrid>
        <w:gridCol w:w="2268"/>
        <w:gridCol w:w="2056"/>
        <w:gridCol w:w="1807"/>
        <w:gridCol w:w="1807"/>
      </w:tblGrid>
      <w:tr w:rsidR="00F724B0" w14:paraId="24FF2DF0" w14:textId="77777777" w:rsidTr="00F724B0">
        <w:trPr>
          <w:trHeight w:val="448"/>
        </w:trPr>
        <w:tc>
          <w:tcPr>
            <w:tcW w:w="2268" w:type="dxa"/>
          </w:tcPr>
          <w:p w14:paraId="49968040" w14:textId="77777777" w:rsidR="00F724B0" w:rsidRDefault="00F724B0" w:rsidP="00F724B0">
            <w:pPr>
              <w:bidi/>
              <w:jc w:val="center"/>
              <w:rPr>
                <w:b/>
                <w:bCs/>
                <w:color w:val="000000"/>
                <w:rtl/>
              </w:rPr>
            </w:pPr>
            <w:r>
              <w:rPr>
                <w:b/>
                <w:bCs/>
                <w:color w:val="000000"/>
                <w:rtl/>
              </w:rPr>
              <w:t>_____________</w:t>
            </w:r>
          </w:p>
        </w:tc>
        <w:tc>
          <w:tcPr>
            <w:tcW w:w="2056" w:type="dxa"/>
            <w:hideMark/>
          </w:tcPr>
          <w:p w14:paraId="2DC2F8CF" w14:textId="77777777" w:rsidR="00F724B0" w:rsidRDefault="00F724B0" w:rsidP="00F724B0">
            <w:pPr>
              <w:bidi/>
              <w:jc w:val="center"/>
              <w:rPr>
                <w:b/>
                <w:bCs/>
                <w:color w:val="000000"/>
                <w:rtl/>
              </w:rPr>
            </w:pPr>
            <w:r>
              <w:rPr>
                <w:b/>
                <w:bCs/>
                <w:color w:val="000000"/>
                <w:rtl/>
              </w:rPr>
              <w:t>_____________</w:t>
            </w:r>
          </w:p>
        </w:tc>
        <w:tc>
          <w:tcPr>
            <w:tcW w:w="1807" w:type="dxa"/>
          </w:tcPr>
          <w:p w14:paraId="2BCFE3B5" w14:textId="77777777" w:rsidR="00F724B0" w:rsidRDefault="00F724B0" w:rsidP="00F724B0">
            <w:pPr>
              <w:bidi/>
              <w:jc w:val="center"/>
              <w:rPr>
                <w:b/>
                <w:bCs/>
                <w:color w:val="000000"/>
                <w:rtl/>
              </w:rPr>
            </w:pPr>
            <w:r>
              <w:rPr>
                <w:rFonts w:hint="cs"/>
                <w:b/>
                <w:bCs/>
                <w:color w:val="000000"/>
                <w:rtl/>
              </w:rPr>
              <w:t>_____________</w:t>
            </w:r>
          </w:p>
        </w:tc>
        <w:tc>
          <w:tcPr>
            <w:tcW w:w="1807" w:type="dxa"/>
          </w:tcPr>
          <w:p w14:paraId="615F6DAB" w14:textId="77777777" w:rsidR="00F724B0" w:rsidRDefault="00F724B0" w:rsidP="00F724B0">
            <w:pPr>
              <w:bidi/>
              <w:jc w:val="center"/>
              <w:rPr>
                <w:b/>
                <w:bCs/>
                <w:color w:val="000000"/>
                <w:rtl/>
              </w:rPr>
            </w:pPr>
            <w:r>
              <w:rPr>
                <w:b/>
                <w:bCs/>
                <w:color w:val="000000"/>
                <w:rtl/>
              </w:rPr>
              <w:t>_____________</w:t>
            </w:r>
          </w:p>
        </w:tc>
      </w:tr>
      <w:tr w:rsidR="00F724B0" w14:paraId="06B5AAF6" w14:textId="77777777" w:rsidTr="00F724B0">
        <w:trPr>
          <w:trHeight w:val="460"/>
        </w:trPr>
        <w:tc>
          <w:tcPr>
            <w:tcW w:w="2268" w:type="dxa"/>
          </w:tcPr>
          <w:p w14:paraId="6C920A7B" w14:textId="77777777" w:rsidR="00F724B0" w:rsidRDefault="00F724B0">
            <w:pPr>
              <w:bidi/>
              <w:jc w:val="center"/>
              <w:rPr>
                <w:b/>
                <w:bCs/>
                <w:color w:val="000000"/>
                <w:rtl/>
              </w:rPr>
            </w:pPr>
            <w:r>
              <w:rPr>
                <w:rFonts w:hint="cs"/>
                <w:b/>
                <w:bCs/>
                <w:color w:val="000000"/>
                <w:rtl/>
              </w:rPr>
              <w:t>שם</w:t>
            </w:r>
          </w:p>
        </w:tc>
        <w:tc>
          <w:tcPr>
            <w:tcW w:w="2056" w:type="dxa"/>
            <w:hideMark/>
          </w:tcPr>
          <w:p w14:paraId="39A8F6A9" w14:textId="77777777" w:rsidR="00F724B0" w:rsidRDefault="00F724B0">
            <w:pPr>
              <w:bidi/>
              <w:jc w:val="center"/>
              <w:rPr>
                <w:b/>
                <w:bCs/>
                <w:color w:val="000000"/>
                <w:rtl/>
              </w:rPr>
            </w:pPr>
            <w:r>
              <w:rPr>
                <w:rFonts w:hint="cs"/>
                <w:b/>
                <w:bCs/>
                <w:color w:val="000000"/>
                <w:rtl/>
              </w:rPr>
              <w:t>תפקיד</w:t>
            </w:r>
          </w:p>
        </w:tc>
        <w:tc>
          <w:tcPr>
            <w:tcW w:w="1807" w:type="dxa"/>
          </w:tcPr>
          <w:p w14:paraId="220B937A" w14:textId="77777777" w:rsidR="00F724B0" w:rsidRDefault="00F724B0">
            <w:pPr>
              <w:bidi/>
              <w:jc w:val="center"/>
              <w:rPr>
                <w:b/>
                <w:bCs/>
                <w:color w:val="000000"/>
                <w:rtl/>
              </w:rPr>
            </w:pPr>
            <w:r>
              <w:rPr>
                <w:rFonts w:hint="cs"/>
                <w:b/>
                <w:bCs/>
                <w:color w:val="000000"/>
                <w:rtl/>
              </w:rPr>
              <w:t>ת.ז.</w:t>
            </w:r>
          </w:p>
        </w:tc>
        <w:tc>
          <w:tcPr>
            <w:tcW w:w="1807" w:type="dxa"/>
          </w:tcPr>
          <w:p w14:paraId="3125803E" w14:textId="77777777" w:rsidR="00F724B0" w:rsidRDefault="00F724B0">
            <w:pPr>
              <w:bidi/>
              <w:jc w:val="center"/>
              <w:rPr>
                <w:b/>
                <w:bCs/>
                <w:color w:val="000000"/>
                <w:rtl/>
              </w:rPr>
            </w:pPr>
            <w:r>
              <w:rPr>
                <w:rFonts w:hint="cs"/>
                <w:b/>
                <w:bCs/>
                <w:color w:val="000000"/>
                <w:rtl/>
              </w:rPr>
              <w:t>חתימה</w:t>
            </w:r>
          </w:p>
        </w:tc>
      </w:tr>
      <w:tr w:rsidR="00F724B0" w14:paraId="3308E32B" w14:textId="77777777" w:rsidTr="00F724B0">
        <w:trPr>
          <w:trHeight w:val="533"/>
        </w:trPr>
        <w:tc>
          <w:tcPr>
            <w:tcW w:w="2268" w:type="dxa"/>
          </w:tcPr>
          <w:p w14:paraId="026C4A15" w14:textId="77777777" w:rsidR="00F724B0" w:rsidRDefault="00F724B0">
            <w:pPr>
              <w:spacing w:line="240" w:lineRule="auto"/>
              <w:jc w:val="center"/>
              <w:rPr>
                <w:rtl/>
              </w:rPr>
            </w:pPr>
          </w:p>
        </w:tc>
        <w:tc>
          <w:tcPr>
            <w:tcW w:w="2056" w:type="dxa"/>
          </w:tcPr>
          <w:p w14:paraId="0F62A946" w14:textId="77777777" w:rsidR="00F724B0" w:rsidRDefault="00F724B0">
            <w:pPr>
              <w:spacing w:line="240" w:lineRule="auto"/>
              <w:jc w:val="center"/>
              <w:rPr>
                <w:rtl/>
              </w:rPr>
            </w:pPr>
          </w:p>
        </w:tc>
        <w:tc>
          <w:tcPr>
            <w:tcW w:w="1807" w:type="dxa"/>
          </w:tcPr>
          <w:p w14:paraId="5704AB43" w14:textId="77777777" w:rsidR="00F724B0" w:rsidRDefault="00F724B0">
            <w:pPr>
              <w:spacing w:line="240" w:lineRule="auto"/>
              <w:jc w:val="center"/>
              <w:rPr>
                <w:rtl/>
              </w:rPr>
            </w:pPr>
          </w:p>
        </w:tc>
        <w:tc>
          <w:tcPr>
            <w:tcW w:w="1807" w:type="dxa"/>
          </w:tcPr>
          <w:p w14:paraId="692B0919" w14:textId="77777777" w:rsidR="00F724B0" w:rsidRDefault="00F724B0">
            <w:pPr>
              <w:spacing w:line="240" w:lineRule="auto"/>
              <w:jc w:val="center"/>
              <w:rPr>
                <w:rtl/>
              </w:rPr>
            </w:pPr>
          </w:p>
        </w:tc>
      </w:tr>
    </w:tbl>
    <w:p w14:paraId="76FFAF5A" w14:textId="77777777" w:rsidR="008830E8" w:rsidRDefault="008830E8">
      <w:pPr>
        <w:spacing w:line="240" w:lineRule="auto"/>
        <w:rPr>
          <w:rFonts w:ascii="Calibri" w:hAnsi="Calibri"/>
          <w:b/>
          <w:bCs/>
          <w:rtl/>
        </w:rPr>
      </w:pPr>
    </w:p>
    <w:p w14:paraId="49F6FB84" w14:textId="77777777" w:rsidR="008830E8" w:rsidRDefault="008830E8">
      <w:pPr>
        <w:tabs>
          <w:tab w:val="left" w:pos="2816"/>
        </w:tabs>
        <w:rPr>
          <w:rtl/>
        </w:rPr>
      </w:pPr>
    </w:p>
    <w:p w14:paraId="231BDF7B" w14:textId="77777777" w:rsidR="008830E8" w:rsidRDefault="008830E8">
      <w:pPr>
        <w:tabs>
          <w:tab w:val="left" w:pos="2816"/>
        </w:tabs>
      </w:pPr>
    </w:p>
    <w:p w14:paraId="7F593411" w14:textId="77777777" w:rsidR="008830E8" w:rsidRDefault="008830E8">
      <w:pPr>
        <w:bidi/>
        <w:spacing w:after="0" w:line="360" w:lineRule="auto"/>
        <w:ind w:left="-45"/>
        <w:jc w:val="center"/>
        <w:rPr>
          <w:rtl/>
        </w:rPr>
      </w:pPr>
    </w:p>
    <w:p w14:paraId="1C2F6DD5" w14:textId="77777777" w:rsidR="008830E8" w:rsidRDefault="008830E8"/>
    <w:p w14:paraId="62954F61" w14:textId="77777777" w:rsidR="008830E8" w:rsidRDefault="008830E8">
      <w:pPr>
        <w:bidi/>
        <w:spacing w:after="0" w:line="360" w:lineRule="auto"/>
        <w:ind w:left="-45"/>
        <w:jc w:val="center"/>
      </w:pPr>
    </w:p>
    <w:p w14:paraId="151335A0" w14:textId="77777777" w:rsidR="008830E8" w:rsidRDefault="00581E30">
      <w:pPr>
        <w:tabs>
          <w:tab w:val="left" w:pos="2625"/>
        </w:tabs>
        <w:bidi/>
        <w:rPr>
          <w:rtl/>
        </w:rPr>
      </w:pPr>
      <w:r>
        <w:rPr>
          <w:rtl/>
        </w:rPr>
        <w:tab/>
      </w:r>
    </w:p>
    <w:sectPr w:rsidR="008830E8">
      <w:headerReference w:type="even" r:id="rId8"/>
      <w:headerReference w:type="default" r:id="rId9"/>
      <w:footerReference w:type="even" r:id="rId10"/>
      <w:footerReference w:type="default" r:id="rId11"/>
      <w:headerReference w:type="first" r:id="rId12"/>
      <w:footerReference w:type="first" r:id="rId13"/>
      <w:type w:val="continuous"/>
      <w:pgSz w:w="11907" w:h="16839" w:code="9"/>
      <w:pgMar w:top="2127" w:right="1440" w:bottom="1418" w:left="1440" w:header="568" w:footer="713"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83BEBF" w14:textId="77777777" w:rsidR="00DD5583" w:rsidRDefault="00DD5583">
      <w:pPr>
        <w:spacing w:after="0" w:line="240" w:lineRule="auto"/>
      </w:pPr>
      <w:r>
        <w:separator/>
      </w:r>
    </w:p>
  </w:endnote>
  <w:endnote w:type="continuationSeparator" w:id="0">
    <w:p w14:paraId="25204241" w14:textId="77777777" w:rsidR="00DD5583" w:rsidRDefault="00DD5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FA099" w14:textId="77777777" w:rsidR="008830E8" w:rsidRDefault="00883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0209610"/>
      <w:docPartObj>
        <w:docPartGallery w:val="Page Numbers (Bottom of Page)"/>
        <w:docPartUnique/>
      </w:docPartObj>
    </w:sdtPr>
    <w:sdtContent>
      <w:p w14:paraId="05BC3BB0" w14:textId="77777777" w:rsidR="008830E8" w:rsidRDefault="00581E30">
        <w:pPr>
          <w:pStyle w:val="Footer"/>
          <w:jc w:val="center"/>
        </w:pPr>
        <w:r>
          <w:fldChar w:fldCharType="begin"/>
        </w:r>
        <w:r>
          <w:instrText xml:space="preserve"> PAGE   \* MERGEFORMAT </w:instrText>
        </w:r>
        <w:r>
          <w:fldChar w:fldCharType="separate"/>
        </w:r>
        <w:r w:rsidR="007E5A7E">
          <w:rPr>
            <w:noProof/>
          </w:rPr>
          <w:t>2</w:t>
        </w:r>
        <w:r>
          <w:rPr>
            <w:noProof/>
          </w:rPr>
          <w:fldChar w:fldCharType="end"/>
        </w:r>
      </w:p>
    </w:sdtContent>
  </w:sdt>
  <w:p w14:paraId="214A8603" w14:textId="77777777" w:rsidR="008830E8" w:rsidRDefault="008830E8">
    <w:pPr>
      <w:pStyle w:val="Footer"/>
      <w:tabs>
        <w:tab w:val="clear" w:pos="4680"/>
        <w:tab w:val="clear" w:pos="9360"/>
        <w:tab w:val="left" w:pos="5545"/>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9CEF2" w14:textId="46683B02" w:rsidR="008830E8" w:rsidRDefault="00883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79DEA" w14:textId="77777777" w:rsidR="00DD5583" w:rsidRDefault="00DD5583">
      <w:pPr>
        <w:spacing w:after="0" w:line="240" w:lineRule="auto"/>
      </w:pPr>
      <w:r>
        <w:separator/>
      </w:r>
    </w:p>
  </w:footnote>
  <w:footnote w:type="continuationSeparator" w:id="0">
    <w:p w14:paraId="5634B876" w14:textId="77777777" w:rsidR="00DD5583" w:rsidRDefault="00DD5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F4097" w14:textId="77777777" w:rsidR="008830E8" w:rsidRDefault="00883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A1AAE" w14:textId="27AC9B7D" w:rsidR="008830E8" w:rsidRDefault="008830E8">
    <w:pPr>
      <w:pStyle w:val="Header"/>
      <w:rPr>
        <w:noProof/>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70EDB" w14:textId="0BEE0CA8" w:rsidR="008830E8" w:rsidRDefault="008830E8">
    <w:pPr>
      <w:pStyle w:val="Header"/>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73E1B"/>
    <w:multiLevelType w:val="hybridMultilevel"/>
    <w:tmpl w:val="B5900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6E66D09"/>
    <w:multiLevelType w:val="hybridMultilevel"/>
    <w:tmpl w:val="7C4E4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E76956"/>
    <w:multiLevelType w:val="hybridMultilevel"/>
    <w:tmpl w:val="77E40934"/>
    <w:lvl w:ilvl="0" w:tplc="6492C942">
      <w:start w:val="300"/>
      <w:numFmt w:val="bullet"/>
      <w:lvlText w:val=""/>
      <w:lvlJc w:val="left"/>
      <w:pPr>
        <w:ind w:left="720" w:hanging="360"/>
      </w:pPr>
      <w:rPr>
        <w:rFonts w:ascii="Symbol" w:eastAsia="Times New Roman" w:hAnsi="Symbol"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AA3787"/>
    <w:multiLevelType w:val="hybridMultilevel"/>
    <w:tmpl w:val="527E3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C95614"/>
    <w:multiLevelType w:val="hybridMultilevel"/>
    <w:tmpl w:val="62A23E0A"/>
    <w:lvl w:ilvl="0" w:tplc="C994D808">
      <w:start w:val="5"/>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93818261">
    <w:abstractNumId w:val="1"/>
  </w:num>
  <w:num w:numId="2" w16cid:durableId="1417478219">
    <w:abstractNumId w:val="3"/>
  </w:num>
  <w:num w:numId="3" w16cid:durableId="907115292">
    <w:abstractNumId w:val="0"/>
  </w:num>
  <w:num w:numId="4" w16cid:durableId="17648848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2126595">
    <w:abstractNumId w:val="2"/>
  </w:num>
  <w:num w:numId="6" w16cid:durableId="2473530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0E8"/>
    <w:rsid w:val="00003CDE"/>
    <w:rsid w:val="00006355"/>
    <w:rsid w:val="00085D70"/>
    <w:rsid w:val="000D3E82"/>
    <w:rsid w:val="001A6FAF"/>
    <w:rsid w:val="001C5934"/>
    <w:rsid w:val="002768F1"/>
    <w:rsid w:val="00356F38"/>
    <w:rsid w:val="003E43D4"/>
    <w:rsid w:val="00411787"/>
    <w:rsid w:val="00541EF1"/>
    <w:rsid w:val="00581E30"/>
    <w:rsid w:val="00591F3D"/>
    <w:rsid w:val="005A2E6E"/>
    <w:rsid w:val="006C4900"/>
    <w:rsid w:val="00766650"/>
    <w:rsid w:val="007E5A7E"/>
    <w:rsid w:val="008378D5"/>
    <w:rsid w:val="008830E8"/>
    <w:rsid w:val="009A0D52"/>
    <w:rsid w:val="00A43890"/>
    <w:rsid w:val="00AD6990"/>
    <w:rsid w:val="00B90A7D"/>
    <w:rsid w:val="00BD18FF"/>
    <w:rsid w:val="00C313DC"/>
    <w:rsid w:val="00D343F0"/>
    <w:rsid w:val="00D43199"/>
    <w:rsid w:val="00D64F62"/>
    <w:rsid w:val="00DD5583"/>
    <w:rsid w:val="00DF1542"/>
    <w:rsid w:val="00E30606"/>
    <w:rsid w:val="00E81D30"/>
    <w:rsid w:val="00F724B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0B26B"/>
  <w15:docId w15:val="{53077A79-6F7F-4802-BDC1-038779E22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rPr>
  </w:style>
  <w:style w:type="paragraph" w:styleId="Heading1">
    <w:name w:val="heading 1"/>
    <w:basedOn w:val="Normal"/>
    <w:next w:val="Normal"/>
    <w:link w:val="Heading1Char"/>
    <w:uiPriority w:val="9"/>
    <w:qFormat/>
    <w:pPr>
      <w:bidi/>
      <w:outlineLvl w:val="0"/>
    </w:pPr>
    <w:rPr>
      <w:b/>
      <w:bCs/>
      <w:color w:val="1F4E79" w:themeColor="accent1" w:themeShade="80"/>
      <w:sz w:val="28"/>
      <w:szCs w:val="28"/>
    </w:rPr>
  </w:style>
  <w:style w:type="paragraph" w:styleId="Heading2">
    <w:name w:val="heading 2"/>
    <w:basedOn w:val="Heading1"/>
    <w:next w:val="Normal"/>
    <w:link w:val="Heading2Char"/>
    <w:uiPriority w:val="9"/>
    <w:unhideWhenUsed/>
    <w:qFormat/>
    <w:pPr>
      <w:bidi w:val="0"/>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pPr>
      <w:spacing w:after="0" w:line="240" w:lineRule="auto"/>
    </w:pPr>
    <w:rPr>
      <w:rFonts w:eastAsiaTheme="minorEastAsia"/>
      <w:lang w:bidi="ar-SA"/>
    </w:rPr>
  </w:style>
  <w:style w:type="character" w:customStyle="1" w:styleId="NoSpacingChar">
    <w:name w:val="No Spacing Char"/>
    <w:basedOn w:val="DefaultParagraphFont"/>
    <w:link w:val="NoSpacing"/>
    <w:uiPriority w:val="1"/>
    <w:rPr>
      <w:rFonts w:eastAsiaTheme="minorEastAsia"/>
      <w:lang w:bidi="ar-SA"/>
    </w:rPr>
  </w:style>
  <w:style w:type="character" w:customStyle="1" w:styleId="Heading1Char">
    <w:name w:val="Heading 1 Char"/>
    <w:basedOn w:val="DefaultParagraphFont"/>
    <w:link w:val="Heading1"/>
    <w:uiPriority w:val="9"/>
    <w:rPr>
      <w:rFonts w:ascii="Arial" w:hAnsi="Arial"/>
      <w:b/>
      <w:bCs/>
      <w:color w:val="1F4E79" w:themeColor="accent1" w:themeShade="80"/>
      <w:sz w:val="28"/>
      <w:szCs w:val="28"/>
    </w:rPr>
  </w:style>
  <w:style w:type="character" w:customStyle="1" w:styleId="Heading2Char">
    <w:name w:val="Heading 2 Char"/>
    <w:basedOn w:val="DefaultParagraphFont"/>
    <w:link w:val="Heading2"/>
    <w:uiPriority w:val="9"/>
    <w:rPr>
      <w:rFonts w:ascii="Arial" w:hAnsi="Arial" w:cs="Arial"/>
      <w:b/>
      <w:bCs/>
      <w:color w:val="1F4E79" w:themeColor="accent1" w:themeShade="80"/>
      <w:sz w:val="24"/>
      <w:szCs w:val="24"/>
    </w:rPr>
  </w:style>
  <w:style w:type="paragraph" w:styleId="ListParagraph">
    <w:name w:val="List Paragraph"/>
    <w:basedOn w:val="Normal"/>
    <w:uiPriority w:val="34"/>
    <w:qFormat/>
    <w:pPr>
      <w:ind w:left="720"/>
      <w:contextualSpacing/>
    </w:pPr>
  </w:style>
  <w:style w:type="character" w:customStyle="1" w:styleId="bold1">
    <w:name w:val="bold1"/>
    <w:basedOn w:val="DefaultParagraphFont"/>
    <w:rPr>
      <w:rFonts w:ascii="Arial" w:hAnsi="Arial" w:cs="Arial" w:hint="default"/>
      <w:b/>
      <w:bCs/>
      <w:i w:val="0"/>
      <w:iCs w:val="0"/>
      <w:color w:val="333366"/>
      <w:sz w:val="22"/>
      <w:szCs w:val="22"/>
    </w:rPr>
  </w:style>
  <w:style w:type="character" w:styleId="Hyperlink">
    <w:name w:val="Hyperlink"/>
    <w:basedOn w:val="DefaultParagraphFont"/>
    <w:uiPriority w:val="99"/>
    <w:unhideWhenUsed/>
    <w:rPr>
      <w:color w:val="0563C1" w:themeColor="hyperlink"/>
      <w:u w:val="single"/>
    </w:rPr>
  </w:style>
  <w:style w:type="character" w:customStyle="1" w:styleId="1">
    <w:name w:val="אזכור לא מזוהה1"/>
    <w:basedOn w:val="DefaultParagraphFont"/>
    <w:uiPriority w:val="99"/>
    <w:semiHidden/>
    <w:unhideWhenUsed/>
    <w:rPr>
      <w:color w:val="605E5C"/>
      <w:shd w:val="clear" w:color="auto" w:fill="E1DFDD"/>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5A2E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8206403">
      <w:bodyDiv w:val="1"/>
      <w:marLeft w:val="0"/>
      <w:marRight w:val="0"/>
      <w:marTop w:val="0"/>
      <w:marBottom w:val="0"/>
      <w:divBdr>
        <w:top w:val="none" w:sz="0" w:space="0" w:color="auto"/>
        <w:left w:val="none" w:sz="0" w:space="0" w:color="auto"/>
        <w:bottom w:val="none" w:sz="0" w:space="0" w:color="auto"/>
        <w:right w:val="none" w:sz="0" w:space="0" w:color="auto"/>
      </w:divBdr>
    </w:div>
    <w:div w:id="1257132334">
      <w:bodyDiv w:val="1"/>
      <w:marLeft w:val="0"/>
      <w:marRight w:val="0"/>
      <w:marTop w:val="0"/>
      <w:marBottom w:val="0"/>
      <w:divBdr>
        <w:top w:val="none" w:sz="0" w:space="0" w:color="auto"/>
        <w:left w:val="none" w:sz="0" w:space="0" w:color="auto"/>
        <w:bottom w:val="none" w:sz="0" w:space="0" w:color="auto"/>
        <w:right w:val="none" w:sz="0" w:space="0" w:color="auto"/>
      </w:divBdr>
    </w:div>
    <w:div w:id="1882861257">
      <w:bodyDiv w:val="1"/>
      <w:marLeft w:val="0"/>
      <w:marRight w:val="0"/>
      <w:marTop w:val="0"/>
      <w:marBottom w:val="0"/>
      <w:divBdr>
        <w:top w:val="none" w:sz="0" w:space="0" w:color="auto"/>
        <w:left w:val="none" w:sz="0" w:space="0" w:color="auto"/>
        <w:bottom w:val="none" w:sz="0" w:space="0" w:color="auto"/>
        <w:right w:val="none" w:sz="0" w:space="0" w:color="auto"/>
      </w:divBdr>
      <w:divsChild>
        <w:div w:id="285620573">
          <w:marLeft w:val="0"/>
          <w:marRight w:val="0"/>
          <w:marTop w:val="0"/>
          <w:marBottom w:val="0"/>
          <w:divBdr>
            <w:top w:val="none" w:sz="0" w:space="0" w:color="auto"/>
            <w:left w:val="none" w:sz="0" w:space="0" w:color="auto"/>
            <w:bottom w:val="none" w:sz="0" w:space="0" w:color="auto"/>
            <w:right w:val="none" w:sz="0" w:space="0" w:color="auto"/>
          </w:divBdr>
        </w:div>
        <w:div w:id="1358124006">
          <w:marLeft w:val="0"/>
          <w:marRight w:val="0"/>
          <w:marTop w:val="0"/>
          <w:marBottom w:val="0"/>
          <w:divBdr>
            <w:top w:val="none" w:sz="0" w:space="0" w:color="auto"/>
            <w:left w:val="none" w:sz="0" w:space="0" w:color="auto"/>
            <w:bottom w:val="none" w:sz="0" w:space="0" w:color="auto"/>
            <w:right w:val="none" w:sz="0" w:space="0" w:color="auto"/>
          </w:divBdr>
        </w:div>
        <w:div w:id="1103067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1504;&#1497;&#1497;&#1512;%20&#1502;&#1499;&#1514;&#1489;&#1497;&#15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788C7-D68B-4BF6-ABDC-7A7FBE50F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נייר מכתבים.dotx</Template>
  <TotalTime>2</TotalTime>
  <Pages>1</Pages>
  <Words>582</Words>
  <Characters>2913</Characters>
  <Application>Microsoft Office Word</Application>
  <DocSecurity>0</DocSecurity>
  <Lines>24</Lines>
  <Paragraphs>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פרקטיקל</dc:creator>
  <cp:lastModifiedBy>Jasmine Mann Dahan</cp:lastModifiedBy>
  <cp:revision>6</cp:revision>
  <cp:lastPrinted>2017-09-12T13:08:00Z</cp:lastPrinted>
  <dcterms:created xsi:type="dcterms:W3CDTF">2023-05-28T06:53:00Z</dcterms:created>
  <dcterms:modified xsi:type="dcterms:W3CDTF">2024-08-01T07:37:00Z</dcterms:modified>
</cp:coreProperties>
</file>