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CFFBF2" w14:textId="77777777" w:rsidR="001A5058" w:rsidRPr="001A5058" w:rsidRDefault="001A5058" w:rsidP="001A5058">
      <w:pPr>
        <w:spacing w:line="360" w:lineRule="auto"/>
        <w:jc w:val="center"/>
        <w:rPr>
          <w:rFonts w:ascii="David" w:hAnsi="David" w:cs="David"/>
          <w:sz w:val="32"/>
          <w:szCs w:val="32"/>
        </w:rPr>
      </w:pPr>
      <w:r w:rsidRPr="001A5058">
        <w:rPr>
          <w:rFonts w:ascii="David" w:hAnsi="David" w:cs="David"/>
          <w:b/>
          <w:bCs/>
          <w:sz w:val="32"/>
          <w:szCs w:val="32"/>
          <w:rtl/>
        </w:rPr>
        <w:t>ערר על החלטת מעצר ימים</w:t>
      </w:r>
    </w:p>
    <w:p w14:paraId="430131B4" w14:textId="77777777" w:rsidR="001A5058" w:rsidRPr="001A5058" w:rsidRDefault="001A5058" w:rsidP="001A5058">
      <w:pPr>
        <w:spacing w:line="360" w:lineRule="auto"/>
        <w:rPr>
          <w:rFonts w:ascii="David" w:hAnsi="David" w:cs="David"/>
          <w:sz w:val="24"/>
          <w:szCs w:val="24"/>
        </w:rPr>
      </w:pPr>
      <w:r w:rsidRPr="001A5058">
        <w:rPr>
          <w:rFonts w:ascii="David" w:hAnsi="David" w:cs="David"/>
          <w:b/>
          <w:bCs/>
          <w:sz w:val="24"/>
          <w:szCs w:val="24"/>
          <w:rtl/>
        </w:rPr>
        <w:t>בית המשפט המחוזי</w:t>
      </w:r>
      <w:r w:rsidRPr="001A5058">
        <w:rPr>
          <w:rFonts w:ascii="David" w:hAnsi="David" w:cs="David"/>
          <w:b/>
          <w:bCs/>
          <w:sz w:val="24"/>
          <w:szCs w:val="24"/>
        </w:rPr>
        <w:t xml:space="preserve"> ____________</w:t>
      </w:r>
    </w:p>
    <w:p w14:paraId="1FDCA879" w14:textId="77777777" w:rsidR="001A5058" w:rsidRPr="001A5058" w:rsidRDefault="001A5058" w:rsidP="001A5058">
      <w:pPr>
        <w:spacing w:line="360" w:lineRule="auto"/>
        <w:rPr>
          <w:rFonts w:ascii="David" w:hAnsi="David" w:cs="David"/>
          <w:sz w:val="24"/>
          <w:szCs w:val="24"/>
        </w:rPr>
      </w:pPr>
      <w:r w:rsidRPr="001A5058">
        <w:rPr>
          <w:rFonts w:ascii="David" w:hAnsi="David" w:cs="David"/>
          <w:b/>
          <w:bCs/>
          <w:sz w:val="24"/>
          <w:szCs w:val="24"/>
          <w:rtl/>
        </w:rPr>
        <w:t>ערר לפי סעיף 52 לחוק סדר הדין הפלילי (סמכויות אכיפה – מעצרים), תשנ"ו-1996</w:t>
      </w:r>
    </w:p>
    <w:p w14:paraId="6F37FAE1" w14:textId="77777777" w:rsidR="001A5058" w:rsidRPr="001A5058" w:rsidRDefault="001A5058" w:rsidP="001A5058">
      <w:pPr>
        <w:spacing w:line="360" w:lineRule="auto"/>
        <w:rPr>
          <w:rFonts w:ascii="David" w:hAnsi="David" w:cs="David"/>
          <w:sz w:val="24"/>
          <w:szCs w:val="24"/>
        </w:rPr>
      </w:pPr>
      <w:r w:rsidRPr="001A5058">
        <w:rPr>
          <w:rFonts w:ascii="David" w:hAnsi="David" w:cs="David"/>
          <w:b/>
          <w:bCs/>
          <w:sz w:val="24"/>
          <w:szCs w:val="24"/>
          <w:rtl/>
        </w:rPr>
        <w:t>בעניין</w:t>
      </w:r>
      <w:r w:rsidRPr="001A5058">
        <w:rPr>
          <w:rFonts w:ascii="David" w:hAnsi="David" w:cs="David"/>
          <w:b/>
          <w:bCs/>
          <w:sz w:val="24"/>
          <w:szCs w:val="24"/>
        </w:rPr>
        <w:t>:</w:t>
      </w:r>
      <w:r w:rsidRPr="001A5058">
        <w:rPr>
          <w:rFonts w:ascii="David" w:hAnsi="David" w:cs="David"/>
          <w:sz w:val="24"/>
          <w:szCs w:val="24"/>
        </w:rPr>
        <w:t xml:space="preserve"> </w:t>
      </w:r>
      <w:r w:rsidRPr="001A5058">
        <w:rPr>
          <w:rFonts w:ascii="David" w:hAnsi="David" w:cs="David"/>
          <w:sz w:val="24"/>
          <w:szCs w:val="24"/>
          <w:rtl/>
        </w:rPr>
        <w:t>מר/גב' ____________ (להלן: "העורר")</w:t>
      </w:r>
    </w:p>
    <w:p w14:paraId="51A06A2C" w14:textId="77777777" w:rsidR="001A5058" w:rsidRPr="001A5058" w:rsidRDefault="001A5058" w:rsidP="001A5058">
      <w:pPr>
        <w:spacing w:line="360" w:lineRule="auto"/>
        <w:rPr>
          <w:rFonts w:ascii="David" w:hAnsi="David" w:cs="David"/>
          <w:sz w:val="24"/>
          <w:szCs w:val="24"/>
        </w:rPr>
      </w:pPr>
      <w:r w:rsidRPr="001A5058">
        <w:rPr>
          <w:rFonts w:ascii="David" w:hAnsi="David" w:cs="David"/>
          <w:b/>
          <w:bCs/>
          <w:sz w:val="24"/>
          <w:szCs w:val="24"/>
          <w:rtl/>
        </w:rPr>
        <w:t>נגד</w:t>
      </w:r>
      <w:r w:rsidRPr="001A5058">
        <w:rPr>
          <w:rFonts w:ascii="David" w:hAnsi="David" w:cs="David"/>
          <w:b/>
          <w:bCs/>
          <w:sz w:val="24"/>
          <w:szCs w:val="24"/>
        </w:rPr>
        <w:t>:</w:t>
      </w:r>
      <w:r w:rsidRPr="001A5058">
        <w:rPr>
          <w:rFonts w:ascii="David" w:hAnsi="David" w:cs="David"/>
          <w:sz w:val="24"/>
          <w:szCs w:val="24"/>
        </w:rPr>
        <w:t xml:space="preserve"> </w:t>
      </w:r>
      <w:r w:rsidRPr="001A5058">
        <w:rPr>
          <w:rFonts w:ascii="David" w:hAnsi="David" w:cs="David"/>
          <w:sz w:val="24"/>
          <w:szCs w:val="24"/>
          <w:rtl/>
        </w:rPr>
        <w:t>משטרת ישראל / יחידת החקירות ____________ (להלן: "המשיבה")</w:t>
      </w:r>
    </w:p>
    <w:p w14:paraId="1215EB23" w14:textId="77777777" w:rsidR="001A5058" w:rsidRPr="001A5058" w:rsidRDefault="001A5058" w:rsidP="001A5058">
      <w:pPr>
        <w:spacing w:line="360" w:lineRule="auto"/>
        <w:rPr>
          <w:rFonts w:ascii="David" w:hAnsi="David" w:cs="David"/>
          <w:sz w:val="24"/>
          <w:szCs w:val="24"/>
        </w:rPr>
      </w:pPr>
      <w:r w:rsidRPr="001A5058">
        <w:rPr>
          <w:rFonts w:ascii="David" w:hAnsi="David" w:cs="David"/>
          <w:b/>
          <w:bCs/>
          <w:sz w:val="24"/>
          <w:szCs w:val="24"/>
          <w:rtl/>
        </w:rPr>
        <w:t>כבוד השופט/ת</w:t>
      </w:r>
      <w:r w:rsidRPr="001A5058">
        <w:rPr>
          <w:rFonts w:ascii="David" w:hAnsi="David" w:cs="David"/>
          <w:b/>
          <w:bCs/>
          <w:sz w:val="24"/>
          <w:szCs w:val="24"/>
        </w:rPr>
        <w:t xml:space="preserve"> ____________</w:t>
      </w:r>
    </w:p>
    <w:p w14:paraId="2F84DD03" w14:textId="77777777" w:rsidR="00E9297F" w:rsidRDefault="00E9297F" w:rsidP="00E9297F">
      <w:pPr>
        <w:spacing w:line="360" w:lineRule="auto"/>
        <w:jc w:val="center"/>
        <w:rPr>
          <w:rFonts w:ascii="David" w:hAnsi="David" w:cs="David"/>
          <w:b/>
          <w:bCs/>
          <w:sz w:val="24"/>
          <w:szCs w:val="24"/>
          <w:u w:val="single"/>
          <w:rtl/>
        </w:rPr>
      </w:pPr>
    </w:p>
    <w:p w14:paraId="6DEA4653" w14:textId="70B6CA89" w:rsidR="001A5058" w:rsidRPr="001A5058" w:rsidRDefault="001A5058" w:rsidP="00E9297F">
      <w:pPr>
        <w:spacing w:line="360" w:lineRule="auto"/>
        <w:jc w:val="center"/>
        <w:rPr>
          <w:rFonts w:ascii="David" w:hAnsi="David" w:cs="David"/>
          <w:sz w:val="32"/>
          <w:szCs w:val="32"/>
          <w:u w:val="single"/>
        </w:rPr>
      </w:pPr>
      <w:r w:rsidRPr="001A5058">
        <w:rPr>
          <w:rFonts w:ascii="David" w:hAnsi="David" w:cs="David"/>
          <w:b/>
          <w:bCs/>
          <w:sz w:val="32"/>
          <w:szCs w:val="32"/>
          <w:u w:val="single"/>
          <w:rtl/>
        </w:rPr>
        <w:t>ערר על החלטת בית משפט השלום בעניין הארכת מעצר</w:t>
      </w:r>
    </w:p>
    <w:p w14:paraId="2E244709" w14:textId="77777777" w:rsidR="00E9297F" w:rsidRDefault="00E9297F" w:rsidP="00E9297F">
      <w:pPr>
        <w:spacing w:line="360" w:lineRule="auto"/>
        <w:jc w:val="both"/>
        <w:rPr>
          <w:rFonts w:ascii="David" w:hAnsi="David" w:cs="David"/>
          <w:b/>
          <w:bCs/>
          <w:sz w:val="24"/>
          <w:szCs w:val="24"/>
          <w:rtl/>
        </w:rPr>
      </w:pPr>
    </w:p>
    <w:p w14:paraId="4F98C939" w14:textId="171F7DA8" w:rsidR="001A5058" w:rsidRPr="001A5058" w:rsidRDefault="001A5058" w:rsidP="00E9297F">
      <w:pPr>
        <w:spacing w:line="360" w:lineRule="auto"/>
        <w:jc w:val="both"/>
        <w:rPr>
          <w:rFonts w:ascii="David" w:hAnsi="David" w:cs="David"/>
          <w:sz w:val="24"/>
          <w:szCs w:val="24"/>
        </w:rPr>
      </w:pPr>
      <w:r w:rsidRPr="001A5058">
        <w:rPr>
          <w:rFonts w:ascii="David" w:hAnsi="David" w:cs="David"/>
          <w:b/>
          <w:bCs/>
          <w:sz w:val="24"/>
          <w:szCs w:val="24"/>
          <w:rtl/>
        </w:rPr>
        <w:t>מוגש בזאת ערר על החלטת בית משפט השלום מיום ____________, בתיק מעצר מ"י ____________, אשר הורה על הארכת מעצרו של העורר ב- ____________ ימים</w:t>
      </w:r>
      <w:r w:rsidRPr="001A5058">
        <w:rPr>
          <w:rFonts w:ascii="David" w:hAnsi="David" w:cs="David"/>
          <w:b/>
          <w:bCs/>
          <w:sz w:val="24"/>
          <w:szCs w:val="24"/>
        </w:rPr>
        <w:t>.</w:t>
      </w:r>
    </w:p>
    <w:p w14:paraId="0581978E" w14:textId="77777777" w:rsidR="00E9297F" w:rsidRDefault="00E9297F" w:rsidP="00E9297F">
      <w:pPr>
        <w:spacing w:line="360" w:lineRule="auto"/>
        <w:jc w:val="both"/>
        <w:rPr>
          <w:rFonts w:ascii="David" w:hAnsi="David" w:cs="David"/>
          <w:b/>
          <w:bCs/>
          <w:sz w:val="24"/>
          <w:szCs w:val="24"/>
          <w:rtl/>
        </w:rPr>
      </w:pPr>
    </w:p>
    <w:p w14:paraId="336C7F47" w14:textId="40C5F62B" w:rsidR="001A5058" w:rsidRPr="001A5058" w:rsidRDefault="001A5058" w:rsidP="00E9297F">
      <w:pPr>
        <w:spacing w:line="360" w:lineRule="auto"/>
        <w:jc w:val="both"/>
        <w:rPr>
          <w:rFonts w:ascii="David" w:hAnsi="David" w:cs="David"/>
          <w:sz w:val="24"/>
          <w:szCs w:val="24"/>
        </w:rPr>
      </w:pPr>
      <w:r w:rsidRPr="001A5058">
        <w:rPr>
          <w:rFonts w:ascii="David" w:hAnsi="David" w:cs="David"/>
          <w:b/>
          <w:bCs/>
          <w:sz w:val="24"/>
          <w:szCs w:val="24"/>
          <w:rtl/>
        </w:rPr>
        <w:t>רקע ונסיבות הבקשה</w:t>
      </w:r>
      <w:r w:rsidRPr="001A5058">
        <w:rPr>
          <w:rFonts w:ascii="David" w:hAnsi="David" w:cs="David"/>
          <w:b/>
          <w:bCs/>
          <w:sz w:val="24"/>
          <w:szCs w:val="24"/>
        </w:rPr>
        <w:t>:</w:t>
      </w:r>
      <w:r w:rsidRPr="001A5058">
        <w:rPr>
          <w:rFonts w:ascii="David" w:hAnsi="David" w:cs="David"/>
          <w:sz w:val="24"/>
          <w:szCs w:val="24"/>
        </w:rPr>
        <w:t xml:space="preserve"> </w:t>
      </w:r>
      <w:r w:rsidRPr="001A5058">
        <w:rPr>
          <w:rFonts w:ascii="David" w:hAnsi="David" w:cs="David"/>
          <w:sz w:val="24"/>
          <w:szCs w:val="24"/>
          <w:rtl/>
        </w:rPr>
        <w:t>העורר נעצר ביום ____________ במסגרת חקירה פלילית בנוגע לעבירת ____________. המדובר בפרשה שהחלה לפני תקופה משמעותית, כאשר למשטרה לא הייתה תמונה מלאה על הראיות והנסיבות. מאז, החקירה התקדמה באופן ניכר, נגבו עדויות נוספות, והוברר כי יש מקום לשקול מחדש את עילת המעצר. העורר הוא אדם נורמטיבי, ללא עבר פלילי, אשר משתף פעולה עם רשויות האכיפה באופן מלא, מסר את כל המידע הנדרש ומוכן לעמוד בכל תנאי שייקבע. בהינתן כל זאת, המשך מעצרו פוגע באופן בלתי מידתי בזכויותיו ובחירותו</w:t>
      </w:r>
      <w:r w:rsidRPr="001A5058">
        <w:rPr>
          <w:rFonts w:ascii="David" w:hAnsi="David" w:cs="David"/>
          <w:sz w:val="24"/>
          <w:szCs w:val="24"/>
        </w:rPr>
        <w:t>.</w:t>
      </w:r>
    </w:p>
    <w:p w14:paraId="2C0BDCA8" w14:textId="77777777" w:rsidR="00E9297F" w:rsidRDefault="00E9297F" w:rsidP="001A5058">
      <w:pPr>
        <w:spacing w:line="360" w:lineRule="auto"/>
        <w:rPr>
          <w:rFonts w:ascii="David" w:hAnsi="David" w:cs="David"/>
          <w:b/>
          <w:bCs/>
          <w:sz w:val="24"/>
          <w:szCs w:val="24"/>
          <w:rtl/>
        </w:rPr>
      </w:pPr>
    </w:p>
    <w:p w14:paraId="645B8C06" w14:textId="579FE472" w:rsidR="001A5058" w:rsidRPr="001A5058" w:rsidRDefault="001A5058" w:rsidP="001A5058">
      <w:pPr>
        <w:spacing w:line="360" w:lineRule="auto"/>
        <w:rPr>
          <w:rFonts w:ascii="David" w:hAnsi="David" w:cs="David"/>
          <w:sz w:val="24"/>
          <w:szCs w:val="24"/>
        </w:rPr>
      </w:pPr>
      <w:r w:rsidRPr="001A5058">
        <w:rPr>
          <w:rFonts w:ascii="David" w:hAnsi="David" w:cs="David"/>
          <w:b/>
          <w:bCs/>
          <w:sz w:val="24"/>
          <w:szCs w:val="24"/>
          <w:rtl/>
        </w:rPr>
        <w:t>נימוקי הערר</w:t>
      </w:r>
      <w:r w:rsidRPr="001A5058">
        <w:rPr>
          <w:rFonts w:ascii="David" w:hAnsi="David" w:cs="David"/>
          <w:b/>
          <w:bCs/>
          <w:sz w:val="24"/>
          <w:szCs w:val="24"/>
        </w:rPr>
        <w:t>:</w:t>
      </w:r>
    </w:p>
    <w:p w14:paraId="2717BC17" w14:textId="2C7D53ED" w:rsidR="001A5058" w:rsidRPr="001A5058" w:rsidRDefault="001A5058" w:rsidP="00E9297F">
      <w:pPr>
        <w:numPr>
          <w:ilvl w:val="0"/>
          <w:numId w:val="1"/>
        </w:numPr>
        <w:spacing w:line="360" w:lineRule="auto"/>
        <w:jc w:val="both"/>
        <w:rPr>
          <w:rFonts w:ascii="David" w:hAnsi="David" w:cs="David"/>
          <w:sz w:val="24"/>
          <w:szCs w:val="24"/>
        </w:rPr>
      </w:pPr>
      <w:r w:rsidRPr="001A5058">
        <w:rPr>
          <w:rFonts w:ascii="David" w:hAnsi="David" w:cs="David"/>
          <w:b/>
          <w:bCs/>
          <w:sz w:val="24"/>
          <w:szCs w:val="24"/>
          <w:rtl/>
        </w:rPr>
        <w:t>פגיעה חמורה בזכויות החשוד</w:t>
      </w:r>
      <w:r w:rsidRPr="001A5058">
        <w:rPr>
          <w:rFonts w:ascii="David" w:hAnsi="David" w:cs="David"/>
          <w:sz w:val="24"/>
          <w:szCs w:val="24"/>
        </w:rPr>
        <w:t xml:space="preserve">– </w:t>
      </w:r>
      <w:r w:rsidR="00E9297F">
        <w:rPr>
          <w:rFonts w:ascii="David" w:hAnsi="David" w:cs="David" w:hint="cs"/>
          <w:sz w:val="24"/>
          <w:szCs w:val="24"/>
          <w:rtl/>
        </w:rPr>
        <w:t xml:space="preserve"> </w:t>
      </w:r>
      <w:r w:rsidRPr="001A5058">
        <w:rPr>
          <w:rFonts w:ascii="David" w:hAnsi="David" w:cs="David"/>
          <w:sz w:val="24"/>
          <w:szCs w:val="24"/>
          <w:rtl/>
        </w:rPr>
        <w:t>הארכת המעצר אינה מידתית ופוגעת בחירותו של העורר ללא הצדקה מספקת</w:t>
      </w:r>
      <w:r w:rsidRPr="001A5058">
        <w:rPr>
          <w:rFonts w:ascii="David" w:hAnsi="David" w:cs="David"/>
          <w:sz w:val="24"/>
          <w:szCs w:val="24"/>
        </w:rPr>
        <w:t>.</w:t>
      </w:r>
    </w:p>
    <w:p w14:paraId="54978623" w14:textId="2734B7D6" w:rsidR="001A5058" w:rsidRPr="001A5058" w:rsidRDefault="001A5058" w:rsidP="00E9297F">
      <w:pPr>
        <w:numPr>
          <w:ilvl w:val="0"/>
          <w:numId w:val="1"/>
        </w:numPr>
        <w:spacing w:line="360" w:lineRule="auto"/>
        <w:jc w:val="both"/>
        <w:rPr>
          <w:rFonts w:ascii="David" w:hAnsi="David" w:cs="David"/>
          <w:sz w:val="24"/>
          <w:szCs w:val="24"/>
        </w:rPr>
      </w:pPr>
      <w:r w:rsidRPr="001A5058">
        <w:rPr>
          <w:rFonts w:ascii="David" w:hAnsi="David" w:cs="David"/>
          <w:b/>
          <w:bCs/>
          <w:sz w:val="24"/>
          <w:szCs w:val="24"/>
          <w:rtl/>
        </w:rPr>
        <w:t>היעדר עילה למעצר</w:t>
      </w:r>
      <w:r w:rsidRPr="001A5058">
        <w:rPr>
          <w:rFonts w:ascii="David" w:hAnsi="David" w:cs="David"/>
          <w:sz w:val="24"/>
          <w:szCs w:val="24"/>
        </w:rPr>
        <w:t xml:space="preserve">– </w:t>
      </w:r>
      <w:r w:rsidR="00E9297F">
        <w:rPr>
          <w:rFonts w:ascii="David" w:hAnsi="David" w:cs="David" w:hint="cs"/>
          <w:sz w:val="24"/>
          <w:szCs w:val="24"/>
          <w:rtl/>
        </w:rPr>
        <w:t xml:space="preserve"> </w:t>
      </w:r>
      <w:r w:rsidRPr="001A5058">
        <w:rPr>
          <w:rFonts w:ascii="David" w:hAnsi="David" w:cs="David"/>
          <w:sz w:val="24"/>
          <w:szCs w:val="24"/>
          <w:rtl/>
        </w:rPr>
        <w:t>החקירה התקדמה, ולא קיימת הצדקה עניינית להמשך המעצר</w:t>
      </w:r>
      <w:r w:rsidRPr="001A5058">
        <w:rPr>
          <w:rFonts w:ascii="David" w:hAnsi="David" w:cs="David"/>
          <w:sz w:val="24"/>
          <w:szCs w:val="24"/>
        </w:rPr>
        <w:t>.</w:t>
      </w:r>
    </w:p>
    <w:p w14:paraId="5401C701" w14:textId="1BFBD55B" w:rsidR="001A5058" w:rsidRPr="001A5058" w:rsidRDefault="001A5058" w:rsidP="00E9297F">
      <w:pPr>
        <w:numPr>
          <w:ilvl w:val="0"/>
          <w:numId w:val="1"/>
        </w:numPr>
        <w:spacing w:line="360" w:lineRule="auto"/>
        <w:jc w:val="both"/>
        <w:rPr>
          <w:rFonts w:ascii="David" w:hAnsi="David" w:cs="David"/>
          <w:sz w:val="24"/>
          <w:szCs w:val="24"/>
        </w:rPr>
      </w:pPr>
      <w:r w:rsidRPr="001A5058">
        <w:rPr>
          <w:rFonts w:ascii="David" w:hAnsi="David" w:cs="David"/>
          <w:b/>
          <w:bCs/>
          <w:sz w:val="24"/>
          <w:szCs w:val="24"/>
          <w:rtl/>
        </w:rPr>
        <w:t>חלופת מעצר ראויה</w:t>
      </w:r>
      <w:r w:rsidRPr="001A5058">
        <w:rPr>
          <w:rFonts w:ascii="David" w:hAnsi="David" w:cs="David"/>
          <w:sz w:val="24"/>
          <w:szCs w:val="24"/>
        </w:rPr>
        <w:t xml:space="preserve">– </w:t>
      </w:r>
      <w:r w:rsidR="00E9297F">
        <w:rPr>
          <w:rFonts w:ascii="David" w:hAnsi="David" w:cs="David" w:hint="cs"/>
          <w:sz w:val="24"/>
          <w:szCs w:val="24"/>
          <w:rtl/>
        </w:rPr>
        <w:t xml:space="preserve"> </w:t>
      </w:r>
      <w:r w:rsidRPr="001A5058">
        <w:rPr>
          <w:rFonts w:ascii="David" w:hAnsi="David" w:cs="David"/>
          <w:sz w:val="24"/>
          <w:szCs w:val="24"/>
          <w:rtl/>
        </w:rPr>
        <w:t>העורר מציע חלופת מעצר בפיקוח הדוק אשר תבטיח את מטרות המעצר</w:t>
      </w:r>
      <w:r w:rsidRPr="001A5058">
        <w:rPr>
          <w:rFonts w:ascii="David" w:hAnsi="David" w:cs="David"/>
          <w:sz w:val="24"/>
          <w:szCs w:val="24"/>
        </w:rPr>
        <w:t>.</w:t>
      </w:r>
    </w:p>
    <w:p w14:paraId="13F510D9" w14:textId="77777777" w:rsidR="00E9297F" w:rsidRDefault="00E9297F" w:rsidP="00E9297F">
      <w:pPr>
        <w:spacing w:line="360" w:lineRule="auto"/>
        <w:jc w:val="both"/>
        <w:rPr>
          <w:rFonts w:ascii="David" w:hAnsi="David" w:cs="David"/>
          <w:b/>
          <w:bCs/>
          <w:sz w:val="24"/>
          <w:szCs w:val="24"/>
          <w:rtl/>
        </w:rPr>
      </w:pPr>
    </w:p>
    <w:p w14:paraId="633C467B" w14:textId="5E1CDA71" w:rsidR="001A5058" w:rsidRPr="001A5058" w:rsidRDefault="001A5058" w:rsidP="00E9297F">
      <w:pPr>
        <w:spacing w:line="360" w:lineRule="auto"/>
        <w:jc w:val="both"/>
        <w:rPr>
          <w:rFonts w:ascii="David" w:hAnsi="David" w:cs="David"/>
          <w:sz w:val="24"/>
          <w:szCs w:val="24"/>
        </w:rPr>
      </w:pPr>
      <w:r w:rsidRPr="001A5058">
        <w:rPr>
          <w:rFonts w:ascii="David" w:hAnsi="David" w:cs="David"/>
          <w:b/>
          <w:bCs/>
          <w:sz w:val="24"/>
          <w:szCs w:val="24"/>
          <w:rtl/>
        </w:rPr>
        <w:t>חשיבות והנחיצות של הסעד המבוקש</w:t>
      </w:r>
      <w:r w:rsidRPr="001A5058">
        <w:rPr>
          <w:rFonts w:ascii="David" w:hAnsi="David" w:cs="David"/>
          <w:b/>
          <w:bCs/>
          <w:sz w:val="24"/>
          <w:szCs w:val="24"/>
        </w:rPr>
        <w:t>:</w:t>
      </w:r>
      <w:r w:rsidRPr="001A5058">
        <w:rPr>
          <w:rFonts w:ascii="David" w:hAnsi="David" w:cs="David"/>
          <w:sz w:val="24"/>
          <w:szCs w:val="24"/>
        </w:rPr>
        <w:t xml:space="preserve"> </w:t>
      </w:r>
      <w:r w:rsidRPr="001A5058">
        <w:rPr>
          <w:rFonts w:ascii="David" w:hAnsi="David" w:cs="David"/>
          <w:sz w:val="24"/>
          <w:szCs w:val="24"/>
          <w:rtl/>
        </w:rPr>
        <w:t>שחרורו של העורר לחלופת מעצר הוא הצעד ההגיוני ביותר בשלב זה. אין כל אינדיקציה לכך ששחרורו יסכן את החקירה או את הציבור. ההשפעה של המשך המעצר על חייו האישיים, משפחתו ומקום עבודתו היא דרמטית, ולכן יש להעדיף חלופת מעצר אשר תאזן בין האינטרסים</w:t>
      </w:r>
      <w:r w:rsidRPr="001A5058">
        <w:rPr>
          <w:rFonts w:ascii="David" w:hAnsi="David" w:cs="David"/>
          <w:sz w:val="24"/>
          <w:szCs w:val="24"/>
        </w:rPr>
        <w:t>.</w:t>
      </w:r>
    </w:p>
    <w:p w14:paraId="37A544B7" w14:textId="3B94089C" w:rsidR="00E9297F" w:rsidRDefault="00E9297F" w:rsidP="00E9297F">
      <w:pPr>
        <w:spacing w:line="360" w:lineRule="auto"/>
        <w:jc w:val="both"/>
        <w:rPr>
          <w:rFonts w:ascii="David" w:hAnsi="David" w:cs="David"/>
          <w:sz w:val="24"/>
          <w:szCs w:val="24"/>
          <w:rtl/>
        </w:rPr>
      </w:pPr>
      <w:r>
        <w:rPr>
          <w:rFonts w:ascii="David" w:hAnsi="David" w:cs="David"/>
          <w:b/>
          <w:bCs/>
          <w:sz w:val="24"/>
          <w:szCs w:val="24"/>
          <w:rtl/>
        </w:rPr>
        <w:lastRenderedPageBreak/>
        <w:br/>
      </w:r>
      <w:r w:rsidR="001A5058" w:rsidRPr="001A5058">
        <w:rPr>
          <w:rFonts w:ascii="David" w:hAnsi="David" w:cs="David"/>
          <w:b/>
          <w:bCs/>
          <w:sz w:val="24"/>
          <w:szCs w:val="24"/>
          <w:rtl/>
        </w:rPr>
        <w:t>סעדים מבוקשים</w:t>
      </w:r>
      <w:r w:rsidR="001A5058" w:rsidRPr="001A5058">
        <w:rPr>
          <w:rFonts w:ascii="David" w:hAnsi="David" w:cs="David"/>
          <w:b/>
          <w:bCs/>
          <w:sz w:val="24"/>
          <w:szCs w:val="24"/>
        </w:rPr>
        <w:t>:</w:t>
      </w:r>
      <w:r w:rsidR="001A5058" w:rsidRPr="001A5058">
        <w:rPr>
          <w:rFonts w:ascii="David" w:hAnsi="David" w:cs="David"/>
          <w:sz w:val="24"/>
          <w:szCs w:val="24"/>
        </w:rPr>
        <w:t xml:space="preserve"> </w:t>
      </w:r>
    </w:p>
    <w:p w14:paraId="60ED064A" w14:textId="450F22CC" w:rsidR="00E9297F" w:rsidRDefault="001A5058" w:rsidP="00E9297F">
      <w:pPr>
        <w:spacing w:line="360" w:lineRule="auto"/>
        <w:jc w:val="both"/>
        <w:rPr>
          <w:rFonts w:ascii="David" w:hAnsi="David" w:cs="David" w:hint="cs"/>
          <w:sz w:val="24"/>
          <w:szCs w:val="24"/>
          <w:rtl/>
        </w:rPr>
      </w:pPr>
      <w:r w:rsidRPr="001A5058">
        <w:rPr>
          <w:rFonts w:ascii="David" w:hAnsi="David" w:cs="David"/>
          <w:sz w:val="24"/>
          <w:szCs w:val="24"/>
          <w:rtl/>
        </w:rPr>
        <w:t>א. ביטול החלטת בית משפט השלום והוראה על שחרורו של העורר</w:t>
      </w:r>
      <w:r w:rsidR="00E9297F">
        <w:rPr>
          <w:rFonts w:ascii="David" w:hAnsi="David" w:cs="David" w:hint="cs"/>
          <w:sz w:val="24"/>
          <w:szCs w:val="24"/>
          <w:rtl/>
        </w:rPr>
        <w:t>.</w:t>
      </w:r>
    </w:p>
    <w:p w14:paraId="1A68C3B6" w14:textId="5A49EBEF" w:rsidR="001A5058" w:rsidRDefault="001A5058" w:rsidP="00E9297F">
      <w:pPr>
        <w:spacing w:line="360" w:lineRule="auto"/>
        <w:jc w:val="both"/>
        <w:rPr>
          <w:rFonts w:ascii="David" w:hAnsi="David" w:cs="David"/>
          <w:sz w:val="24"/>
          <w:szCs w:val="24"/>
          <w:rtl/>
        </w:rPr>
      </w:pPr>
      <w:r w:rsidRPr="001A5058">
        <w:rPr>
          <w:rFonts w:ascii="David" w:hAnsi="David" w:cs="David"/>
          <w:sz w:val="24"/>
          <w:szCs w:val="24"/>
          <w:rtl/>
        </w:rPr>
        <w:t>ב. לחלופין, קיצור תקופת המעצר או מתן חלופת מעצר בפיקוח הדוק</w:t>
      </w:r>
      <w:r w:rsidRPr="001A5058">
        <w:rPr>
          <w:rFonts w:ascii="David" w:hAnsi="David" w:cs="David"/>
          <w:sz w:val="24"/>
          <w:szCs w:val="24"/>
        </w:rPr>
        <w:t>.</w:t>
      </w:r>
    </w:p>
    <w:p w14:paraId="09A98677" w14:textId="77777777" w:rsidR="00E9297F" w:rsidRPr="001A5058" w:rsidRDefault="00E9297F" w:rsidP="00E9297F">
      <w:pPr>
        <w:spacing w:line="360" w:lineRule="auto"/>
        <w:jc w:val="both"/>
        <w:rPr>
          <w:rFonts w:ascii="David" w:hAnsi="David" w:cs="David"/>
          <w:sz w:val="24"/>
          <w:szCs w:val="24"/>
        </w:rPr>
      </w:pPr>
    </w:p>
    <w:p w14:paraId="4028ED97" w14:textId="77777777" w:rsidR="001A5058" w:rsidRPr="001A5058" w:rsidRDefault="001A5058" w:rsidP="00E9297F">
      <w:pPr>
        <w:spacing w:line="360" w:lineRule="auto"/>
        <w:ind w:left="4320"/>
        <w:rPr>
          <w:rFonts w:ascii="David" w:hAnsi="David" w:cs="David"/>
          <w:b/>
          <w:bCs/>
          <w:sz w:val="24"/>
          <w:szCs w:val="24"/>
        </w:rPr>
      </w:pPr>
      <w:r w:rsidRPr="001A5058">
        <w:rPr>
          <w:rFonts w:ascii="David" w:hAnsi="David" w:cs="David"/>
          <w:b/>
          <w:bCs/>
          <w:sz w:val="24"/>
          <w:szCs w:val="24"/>
          <w:rtl/>
        </w:rPr>
        <w:t>בכבוד רב</w:t>
      </w:r>
      <w:r w:rsidRPr="001A5058">
        <w:rPr>
          <w:rFonts w:ascii="David" w:hAnsi="David" w:cs="David"/>
          <w:b/>
          <w:bCs/>
          <w:sz w:val="24"/>
          <w:szCs w:val="24"/>
        </w:rPr>
        <w:t>,</w:t>
      </w:r>
    </w:p>
    <w:p w14:paraId="08B41A17" w14:textId="77777777" w:rsidR="00E9297F" w:rsidRPr="00E9297F" w:rsidRDefault="001A5058" w:rsidP="00E9297F">
      <w:pPr>
        <w:spacing w:line="360" w:lineRule="auto"/>
        <w:ind w:left="4320"/>
        <w:rPr>
          <w:rFonts w:ascii="David" w:hAnsi="David" w:cs="David"/>
          <w:b/>
          <w:bCs/>
          <w:sz w:val="24"/>
          <w:szCs w:val="24"/>
          <w:rtl/>
        </w:rPr>
      </w:pPr>
      <w:r w:rsidRPr="001A5058">
        <w:rPr>
          <w:rFonts w:ascii="David" w:hAnsi="David" w:cs="David"/>
          <w:b/>
          <w:bCs/>
          <w:sz w:val="24"/>
          <w:szCs w:val="24"/>
        </w:rPr>
        <w:t xml:space="preserve">____________ </w:t>
      </w:r>
    </w:p>
    <w:p w14:paraId="7D2F96D7" w14:textId="5F097400" w:rsidR="001A5058" w:rsidRPr="001A5058" w:rsidRDefault="001A5058" w:rsidP="00E9297F">
      <w:pPr>
        <w:spacing w:line="360" w:lineRule="auto"/>
        <w:ind w:left="4320"/>
        <w:rPr>
          <w:rFonts w:ascii="David" w:hAnsi="David" w:cs="David"/>
          <w:b/>
          <w:bCs/>
          <w:sz w:val="24"/>
          <w:szCs w:val="24"/>
        </w:rPr>
      </w:pPr>
      <w:r w:rsidRPr="001A5058">
        <w:rPr>
          <w:rFonts w:ascii="David" w:hAnsi="David" w:cs="David"/>
          <w:b/>
          <w:bCs/>
          <w:sz w:val="24"/>
          <w:szCs w:val="24"/>
          <w:rtl/>
        </w:rPr>
        <w:t>ב"כ העורר</w:t>
      </w:r>
    </w:p>
    <w:p w14:paraId="34356D37" w14:textId="77777777" w:rsidR="001A5058" w:rsidRPr="001A5058" w:rsidRDefault="001A5058" w:rsidP="001A5058">
      <w:pPr>
        <w:spacing w:line="360" w:lineRule="auto"/>
        <w:rPr>
          <w:rFonts w:ascii="David" w:hAnsi="David" w:cs="David"/>
          <w:sz w:val="24"/>
          <w:szCs w:val="24"/>
          <w:rtl/>
        </w:rPr>
      </w:pPr>
    </w:p>
    <w:p w14:paraId="3C0CAFA9" w14:textId="77777777" w:rsidR="001A5058" w:rsidRPr="001A5058" w:rsidRDefault="001A5058" w:rsidP="001A5058">
      <w:pPr>
        <w:spacing w:line="360" w:lineRule="auto"/>
        <w:rPr>
          <w:rFonts w:ascii="David" w:hAnsi="David" w:cs="David"/>
          <w:sz w:val="24"/>
          <w:szCs w:val="24"/>
        </w:rPr>
      </w:pPr>
    </w:p>
    <w:sectPr w:rsidR="001A5058" w:rsidRPr="001A5058" w:rsidSect="00C26C0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D15522"/>
    <w:multiLevelType w:val="multilevel"/>
    <w:tmpl w:val="97FC18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36349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058"/>
    <w:rsid w:val="001A5058"/>
    <w:rsid w:val="001D7A7A"/>
    <w:rsid w:val="00440DE0"/>
    <w:rsid w:val="0049354F"/>
    <w:rsid w:val="0096657D"/>
    <w:rsid w:val="00C26C08"/>
    <w:rsid w:val="00E9297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20E73"/>
  <w15:chartTrackingRefBased/>
  <w15:docId w15:val="{26A4DB04-ED6B-414A-8404-E6035412B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1A50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A50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A505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A505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A505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A505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A505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A505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A505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505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A505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A505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A505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A505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A505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A505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A505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A5058"/>
    <w:rPr>
      <w:rFonts w:eastAsiaTheme="majorEastAsia" w:cstheme="majorBidi"/>
      <w:color w:val="272727" w:themeColor="text1" w:themeTint="D8"/>
    </w:rPr>
  </w:style>
  <w:style w:type="paragraph" w:styleId="Title">
    <w:name w:val="Title"/>
    <w:basedOn w:val="Normal"/>
    <w:next w:val="Normal"/>
    <w:link w:val="TitleChar"/>
    <w:uiPriority w:val="10"/>
    <w:qFormat/>
    <w:rsid w:val="001A505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505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A505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A505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A5058"/>
    <w:pPr>
      <w:spacing w:before="160"/>
      <w:jc w:val="center"/>
    </w:pPr>
    <w:rPr>
      <w:i/>
      <w:iCs/>
      <w:color w:val="404040" w:themeColor="text1" w:themeTint="BF"/>
    </w:rPr>
  </w:style>
  <w:style w:type="character" w:customStyle="1" w:styleId="QuoteChar">
    <w:name w:val="Quote Char"/>
    <w:basedOn w:val="DefaultParagraphFont"/>
    <w:link w:val="Quote"/>
    <w:uiPriority w:val="29"/>
    <w:rsid w:val="001A5058"/>
    <w:rPr>
      <w:i/>
      <w:iCs/>
      <w:color w:val="404040" w:themeColor="text1" w:themeTint="BF"/>
    </w:rPr>
  </w:style>
  <w:style w:type="paragraph" w:styleId="ListParagraph">
    <w:name w:val="List Paragraph"/>
    <w:basedOn w:val="Normal"/>
    <w:uiPriority w:val="34"/>
    <w:qFormat/>
    <w:rsid w:val="001A5058"/>
    <w:pPr>
      <w:ind w:left="720"/>
      <w:contextualSpacing/>
    </w:pPr>
  </w:style>
  <w:style w:type="character" w:styleId="IntenseEmphasis">
    <w:name w:val="Intense Emphasis"/>
    <w:basedOn w:val="DefaultParagraphFont"/>
    <w:uiPriority w:val="21"/>
    <w:qFormat/>
    <w:rsid w:val="001A5058"/>
    <w:rPr>
      <w:i/>
      <w:iCs/>
      <w:color w:val="0F4761" w:themeColor="accent1" w:themeShade="BF"/>
    </w:rPr>
  </w:style>
  <w:style w:type="paragraph" w:styleId="IntenseQuote">
    <w:name w:val="Intense Quote"/>
    <w:basedOn w:val="Normal"/>
    <w:next w:val="Normal"/>
    <w:link w:val="IntenseQuoteChar"/>
    <w:uiPriority w:val="30"/>
    <w:qFormat/>
    <w:rsid w:val="001A50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A5058"/>
    <w:rPr>
      <w:i/>
      <w:iCs/>
      <w:color w:val="0F4761" w:themeColor="accent1" w:themeShade="BF"/>
    </w:rPr>
  </w:style>
  <w:style w:type="character" w:styleId="IntenseReference">
    <w:name w:val="Intense Reference"/>
    <w:basedOn w:val="DefaultParagraphFont"/>
    <w:uiPriority w:val="32"/>
    <w:qFormat/>
    <w:rsid w:val="001A505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137875">
      <w:bodyDiv w:val="1"/>
      <w:marLeft w:val="0"/>
      <w:marRight w:val="0"/>
      <w:marTop w:val="0"/>
      <w:marBottom w:val="0"/>
      <w:divBdr>
        <w:top w:val="none" w:sz="0" w:space="0" w:color="auto"/>
        <w:left w:val="none" w:sz="0" w:space="0" w:color="auto"/>
        <w:bottom w:val="none" w:sz="0" w:space="0" w:color="auto"/>
        <w:right w:val="none" w:sz="0" w:space="0" w:color="auto"/>
      </w:divBdr>
    </w:div>
    <w:div w:id="214041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272</Words>
  <Characters>1360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 Mann Dahan</dc:creator>
  <cp:keywords/>
  <dc:description/>
  <cp:lastModifiedBy>Jasmine Mann Dahan</cp:lastModifiedBy>
  <cp:revision>1</cp:revision>
  <dcterms:created xsi:type="dcterms:W3CDTF">2025-02-19T08:04:00Z</dcterms:created>
  <dcterms:modified xsi:type="dcterms:W3CDTF">2025-02-19T08:41:00Z</dcterms:modified>
</cp:coreProperties>
</file>