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2A615E" w14:textId="77777777" w:rsidR="00106768" w:rsidRPr="00106768" w:rsidRDefault="00106768" w:rsidP="00106768">
      <w:pPr>
        <w:spacing w:line="360" w:lineRule="auto"/>
        <w:jc w:val="center"/>
        <w:rPr>
          <w:rFonts w:ascii="David" w:hAnsi="David" w:cs="David"/>
          <w:sz w:val="28"/>
          <w:szCs w:val="28"/>
        </w:rPr>
      </w:pPr>
      <w:r w:rsidRPr="00106768">
        <w:rPr>
          <w:rFonts w:ascii="David" w:hAnsi="David" w:cs="David"/>
          <w:b/>
          <w:bCs/>
          <w:sz w:val="28"/>
          <w:szCs w:val="28"/>
          <w:rtl/>
        </w:rPr>
        <w:t>ערר על סגירת תיק (לבקשת קורבן עבירה)</w:t>
      </w:r>
    </w:p>
    <w:p w14:paraId="1DE62100" w14:textId="77777777" w:rsidR="00106768" w:rsidRPr="00106768" w:rsidRDefault="00106768" w:rsidP="00106768">
      <w:pPr>
        <w:spacing w:line="360" w:lineRule="auto"/>
        <w:rPr>
          <w:rFonts w:ascii="David" w:hAnsi="David" w:cs="David"/>
          <w:sz w:val="24"/>
          <w:szCs w:val="24"/>
        </w:rPr>
      </w:pPr>
      <w:r w:rsidRPr="00106768">
        <w:rPr>
          <w:rFonts w:ascii="David" w:hAnsi="David" w:cs="David"/>
          <w:b/>
          <w:bCs/>
          <w:sz w:val="24"/>
          <w:szCs w:val="24"/>
          <w:rtl/>
        </w:rPr>
        <w:t>בית המשפט המחוזי</w:t>
      </w:r>
      <w:r w:rsidRPr="00106768">
        <w:rPr>
          <w:rFonts w:ascii="David" w:hAnsi="David" w:cs="David"/>
          <w:b/>
          <w:bCs/>
          <w:sz w:val="24"/>
          <w:szCs w:val="24"/>
        </w:rPr>
        <w:t xml:space="preserve"> ____________</w:t>
      </w:r>
    </w:p>
    <w:p w14:paraId="208CCC47" w14:textId="77777777" w:rsidR="00106768" w:rsidRPr="00106768" w:rsidRDefault="00106768" w:rsidP="00106768">
      <w:pPr>
        <w:spacing w:line="360" w:lineRule="auto"/>
        <w:rPr>
          <w:rFonts w:ascii="David" w:hAnsi="David" w:cs="David"/>
          <w:sz w:val="24"/>
          <w:szCs w:val="24"/>
        </w:rPr>
      </w:pPr>
      <w:r w:rsidRPr="00106768">
        <w:rPr>
          <w:rFonts w:ascii="David" w:hAnsi="David" w:cs="David"/>
          <w:b/>
          <w:bCs/>
          <w:sz w:val="24"/>
          <w:szCs w:val="24"/>
          <w:rtl/>
        </w:rPr>
        <w:t>בעניין</w:t>
      </w:r>
      <w:r w:rsidRPr="00106768">
        <w:rPr>
          <w:rFonts w:ascii="David" w:hAnsi="David" w:cs="David"/>
          <w:b/>
          <w:bCs/>
          <w:sz w:val="24"/>
          <w:szCs w:val="24"/>
        </w:rPr>
        <w:t>:</w:t>
      </w:r>
      <w:r w:rsidRPr="00106768">
        <w:rPr>
          <w:rFonts w:ascii="David" w:hAnsi="David" w:cs="David"/>
          <w:sz w:val="24"/>
          <w:szCs w:val="24"/>
        </w:rPr>
        <w:t xml:space="preserve"> </w:t>
      </w:r>
      <w:r w:rsidRPr="00106768">
        <w:rPr>
          <w:rFonts w:ascii="David" w:hAnsi="David" w:cs="David"/>
          <w:sz w:val="24"/>
          <w:szCs w:val="24"/>
          <w:rtl/>
        </w:rPr>
        <w:t>מר/גב' ____________, קורבן העבירה (להלן: "העורר")</w:t>
      </w:r>
    </w:p>
    <w:p w14:paraId="54857A03" w14:textId="77777777" w:rsidR="00106768" w:rsidRDefault="00106768" w:rsidP="00106768">
      <w:pPr>
        <w:spacing w:line="360" w:lineRule="auto"/>
        <w:rPr>
          <w:rFonts w:ascii="David" w:hAnsi="David" w:cs="David"/>
          <w:sz w:val="24"/>
          <w:szCs w:val="24"/>
          <w:rtl/>
        </w:rPr>
      </w:pPr>
      <w:r w:rsidRPr="00106768">
        <w:rPr>
          <w:rFonts w:ascii="David" w:hAnsi="David" w:cs="David"/>
          <w:b/>
          <w:bCs/>
          <w:sz w:val="24"/>
          <w:szCs w:val="24"/>
          <w:rtl/>
        </w:rPr>
        <w:t>נגד</w:t>
      </w:r>
      <w:r w:rsidRPr="00106768">
        <w:rPr>
          <w:rFonts w:ascii="David" w:hAnsi="David" w:cs="David"/>
          <w:b/>
          <w:bCs/>
          <w:sz w:val="24"/>
          <w:szCs w:val="24"/>
        </w:rPr>
        <w:t>:</w:t>
      </w:r>
      <w:r w:rsidRPr="00106768">
        <w:rPr>
          <w:rFonts w:ascii="David" w:hAnsi="David" w:cs="David"/>
          <w:sz w:val="24"/>
          <w:szCs w:val="24"/>
        </w:rPr>
        <w:t xml:space="preserve"> </w:t>
      </w:r>
      <w:r w:rsidRPr="00106768">
        <w:rPr>
          <w:rFonts w:ascii="David" w:hAnsi="David" w:cs="David"/>
          <w:sz w:val="24"/>
          <w:szCs w:val="24"/>
          <w:rtl/>
        </w:rPr>
        <w:t>פרקליטות המדינה / משטרת ישראל (להלן: "המשיבה")</w:t>
      </w:r>
    </w:p>
    <w:p w14:paraId="746FA1D9" w14:textId="77777777" w:rsidR="00106768" w:rsidRPr="00106768" w:rsidRDefault="00106768" w:rsidP="00106768">
      <w:pPr>
        <w:spacing w:line="360" w:lineRule="auto"/>
        <w:rPr>
          <w:rFonts w:ascii="David" w:hAnsi="David" w:cs="David"/>
          <w:sz w:val="24"/>
          <w:szCs w:val="24"/>
        </w:rPr>
      </w:pPr>
    </w:p>
    <w:p w14:paraId="1FA6A41A" w14:textId="46DD3947" w:rsidR="00106768" w:rsidRPr="00106768" w:rsidRDefault="00106768" w:rsidP="00106768">
      <w:pPr>
        <w:spacing w:line="360" w:lineRule="auto"/>
        <w:jc w:val="center"/>
        <w:rPr>
          <w:rFonts w:ascii="David" w:hAnsi="David" w:cs="David"/>
          <w:sz w:val="28"/>
          <w:szCs w:val="28"/>
          <w:u w:val="single"/>
          <w:rtl/>
        </w:rPr>
      </w:pPr>
      <w:r w:rsidRPr="00106768">
        <w:rPr>
          <w:rFonts w:ascii="David" w:hAnsi="David" w:cs="David"/>
          <w:b/>
          <w:bCs/>
          <w:sz w:val="28"/>
          <w:szCs w:val="28"/>
          <w:u w:val="single"/>
          <w:rtl/>
        </w:rPr>
        <w:t>ערר על החלטת סגירת תיק מס</w:t>
      </w:r>
      <w:r w:rsidRPr="00106768">
        <w:rPr>
          <w:rFonts w:ascii="David" w:hAnsi="David" w:cs="David"/>
          <w:b/>
          <w:bCs/>
          <w:sz w:val="28"/>
          <w:szCs w:val="28"/>
          <w:u w:val="single"/>
        </w:rPr>
        <w:t>____________</w:t>
      </w:r>
    </w:p>
    <w:p w14:paraId="31286165" w14:textId="77777777" w:rsidR="00106768" w:rsidRDefault="00106768" w:rsidP="00106768">
      <w:pPr>
        <w:spacing w:line="360" w:lineRule="auto"/>
        <w:rPr>
          <w:rFonts w:ascii="David" w:hAnsi="David" w:cs="David"/>
          <w:b/>
          <w:bCs/>
          <w:sz w:val="24"/>
          <w:szCs w:val="24"/>
          <w:rtl/>
        </w:rPr>
      </w:pPr>
    </w:p>
    <w:p w14:paraId="07B8851B" w14:textId="77777777" w:rsidR="00106768" w:rsidRDefault="00106768" w:rsidP="00106768">
      <w:pPr>
        <w:spacing w:line="360" w:lineRule="auto"/>
        <w:rPr>
          <w:rFonts w:ascii="David" w:hAnsi="David" w:cs="David"/>
          <w:sz w:val="24"/>
          <w:szCs w:val="24"/>
          <w:rtl/>
        </w:rPr>
      </w:pPr>
      <w:r w:rsidRPr="00106768">
        <w:rPr>
          <w:rFonts w:ascii="David" w:hAnsi="David" w:cs="David"/>
          <w:b/>
          <w:bCs/>
          <w:sz w:val="24"/>
          <w:szCs w:val="24"/>
          <w:rtl/>
        </w:rPr>
        <w:t>רקע ונסיבות הבקשה</w:t>
      </w:r>
      <w:r w:rsidRPr="00106768">
        <w:rPr>
          <w:rFonts w:ascii="David" w:hAnsi="David" w:cs="David"/>
          <w:b/>
          <w:bCs/>
          <w:sz w:val="24"/>
          <w:szCs w:val="24"/>
        </w:rPr>
        <w:t>:</w:t>
      </w:r>
      <w:r w:rsidRPr="00106768">
        <w:rPr>
          <w:rFonts w:ascii="David" w:hAnsi="David" w:cs="David"/>
          <w:sz w:val="24"/>
          <w:szCs w:val="24"/>
        </w:rPr>
        <w:t xml:space="preserve"> </w:t>
      </w:r>
    </w:p>
    <w:p w14:paraId="56F23935" w14:textId="2FDB3622" w:rsidR="00106768" w:rsidRPr="00106768" w:rsidRDefault="00106768" w:rsidP="009F4D1A">
      <w:pPr>
        <w:spacing w:line="360" w:lineRule="auto"/>
        <w:jc w:val="both"/>
        <w:rPr>
          <w:rFonts w:ascii="David" w:hAnsi="David" w:cs="David"/>
          <w:sz w:val="24"/>
          <w:szCs w:val="24"/>
        </w:rPr>
      </w:pPr>
      <w:r w:rsidRPr="00106768">
        <w:rPr>
          <w:rFonts w:ascii="David" w:hAnsi="David" w:cs="David"/>
          <w:sz w:val="24"/>
          <w:szCs w:val="24"/>
          <w:rtl/>
        </w:rPr>
        <w:t>העורר הוא קורבן לעבירה חמורה אשר גרמה לו לפגיעה משמעותית בחייו האישיים והמקצועיים. ביום ____________, הגיש תלונה למשטרה, וציפה כי התיק ייחקר ביסודיות ותבוצענה כל הפעולות הנדרשות למיצוי הדין עם האחראים. עם זאת, חרף הצגת ראיות חד-משמעיות, הודיעה המשיבה כי התיק נסגר ללא הגשת כתב אישום, וזאת ללא שנעשו כל הבדיקות הנדרשות</w:t>
      </w:r>
      <w:r w:rsidRPr="00106768">
        <w:rPr>
          <w:rFonts w:ascii="David" w:hAnsi="David" w:cs="David"/>
          <w:sz w:val="24"/>
          <w:szCs w:val="24"/>
        </w:rPr>
        <w:t>.</w:t>
      </w:r>
    </w:p>
    <w:p w14:paraId="63F65D36" w14:textId="77777777" w:rsidR="00106768" w:rsidRDefault="00106768" w:rsidP="00106768">
      <w:pPr>
        <w:spacing w:line="360" w:lineRule="auto"/>
        <w:rPr>
          <w:rFonts w:ascii="David" w:hAnsi="David" w:cs="David"/>
          <w:b/>
          <w:bCs/>
          <w:sz w:val="24"/>
          <w:szCs w:val="24"/>
          <w:rtl/>
        </w:rPr>
      </w:pPr>
    </w:p>
    <w:p w14:paraId="25899633" w14:textId="752D3FD2" w:rsidR="00106768" w:rsidRPr="00106768" w:rsidRDefault="00106768" w:rsidP="00106768">
      <w:pPr>
        <w:spacing w:line="360" w:lineRule="auto"/>
        <w:rPr>
          <w:rFonts w:ascii="David" w:hAnsi="David" w:cs="David"/>
          <w:sz w:val="24"/>
          <w:szCs w:val="24"/>
        </w:rPr>
      </w:pPr>
      <w:r w:rsidRPr="00106768">
        <w:rPr>
          <w:rFonts w:ascii="David" w:hAnsi="David" w:cs="David"/>
          <w:b/>
          <w:bCs/>
          <w:sz w:val="24"/>
          <w:szCs w:val="24"/>
          <w:rtl/>
        </w:rPr>
        <w:t>נימוקי הערר</w:t>
      </w:r>
      <w:r w:rsidRPr="00106768">
        <w:rPr>
          <w:rFonts w:ascii="David" w:hAnsi="David" w:cs="David"/>
          <w:b/>
          <w:bCs/>
          <w:sz w:val="24"/>
          <w:szCs w:val="24"/>
        </w:rPr>
        <w:t>:</w:t>
      </w:r>
    </w:p>
    <w:p w14:paraId="2A53E43E" w14:textId="77777777" w:rsidR="00106768" w:rsidRPr="00106768" w:rsidRDefault="00106768" w:rsidP="009F4D1A">
      <w:pPr>
        <w:numPr>
          <w:ilvl w:val="0"/>
          <w:numId w:val="2"/>
        </w:numPr>
        <w:spacing w:line="360" w:lineRule="auto"/>
        <w:jc w:val="both"/>
        <w:rPr>
          <w:rFonts w:ascii="David" w:hAnsi="David" w:cs="David"/>
          <w:sz w:val="24"/>
          <w:szCs w:val="24"/>
        </w:rPr>
      </w:pPr>
      <w:r w:rsidRPr="00106768">
        <w:rPr>
          <w:rFonts w:ascii="David" w:hAnsi="David" w:cs="David"/>
          <w:b/>
          <w:bCs/>
          <w:sz w:val="24"/>
          <w:szCs w:val="24"/>
          <w:rtl/>
        </w:rPr>
        <w:t>אי מיצוי הליכים</w:t>
      </w:r>
      <w:r w:rsidRPr="00106768">
        <w:rPr>
          <w:rFonts w:ascii="David" w:hAnsi="David" w:cs="David"/>
          <w:sz w:val="24"/>
          <w:szCs w:val="24"/>
          <w:rtl/>
        </w:rPr>
        <w:t xml:space="preserve"> </w:t>
      </w:r>
      <w:r w:rsidRPr="00106768">
        <w:rPr>
          <w:rFonts w:ascii="David" w:hAnsi="David" w:cs="David"/>
          <w:sz w:val="24"/>
          <w:szCs w:val="24"/>
        </w:rPr>
        <w:t xml:space="preserve">– </w:t>
      </w:r>
      <w:r w:rsidRPr="00106768">
        <w:rPr>
          <w:rFonts w:ascii="David" w:hAnsi="David" w:cs="David"/>
          <w:sz w:val="24"/>
          <w:szCs w:val="24"/>
          <w:rtl/>
        </w:rPr>
        <w:t>לא מוצו כלל דרכי החקירה האפשריות</w:t>
      </w:r>
      <w:r w:rsidRPr="00106768">
        <w:rPr>
          <w:rFonts w:ascii="David" w:hAnsi="David" w:cs="David"/>
          <w:sz w:val="24"/>
          <w:szCs w:val="24"/>
        </w:rPr>
        <w:t>.</w:t>
      </w:r>
    </w:p>
    <w:p w14:paraId="6F67DD76" w14:textId="77777777" w:rsidR="00106768" w:rsidRPr="00106768" w:rsidRDefault="00106768" w:rsidP="009F4D1A">
      <w:pPr>
        <w:numPr>
          <w:ilvl w:val="0"/>
          <w:numId w:val="2"/>
        </w:numPr>
        <w:spacing w:line="360" w:lineRule="auto"/>
        <w:jc w:val="both"/>
        <w:rPr>
          <w:rFonts w:ascii="David" w:hAnsi="David" w:cs="David"/>
          <w:sz w:val="24"/>
          <w:szCs w:val="24"/>
        </w:rPr>
      </w:pPr>
      <w:r w:rsidRPr="00106768">
        <w:rPr>
          <w:rFonts w:ascii="David" w:hAnsi="David" w:cs="David"/>
          <w:b/>
          <w:bCs/>
          <w:sz w:val="24"/>
          <w:szCs w:val="24"/>
          <w:rtl/>
        </w:rPr>
        <w:t>קיימות ראיות מספקות</w:t>
      </w:r>
      <w:r w:rsidRPr="00106768">
        <w:rPr>
          <w:rFonts w:ascii="David" w:hAnsi="David" w:cs="David"/>
          <w:sz w:val="24"/>
          <w:szCs w:val="24"/>
          <w:rtl/>
        </w:rPr>
        <w:t xml:space="preserve"> </w:t>
      </w:r>
      <w:r w:rsidRPr="00106768">
        <w:rPr>
          <w:rFonts w:ascii="David" w:hAnsi="David" w:cs="David"/>
          <w:sz w:val="24"/>
          <w:szCs w:val="24"/>
        </w:rPr>
        <w:t xml:space="preserve">– </w:t>
      </w:r>
      <w:r w:rsidRPr="00106768">
        <w:rPr>
          <w:rFonts w:ascii="David" w:hAnsi="David" w:cs="David"/>
          <w:sz w:val="24"/>
          <w:szCs w:val="24"/>
          <w:rtl/>
        </w:rPr>
        <w:t>בחינת חומר הראיות מחדש מעלה כי קיימת תשתית ראייתית מספקת להגשת כתב אישום</w:t>
      </w:r>
      <w:r w:rsidRPr="00106768">
        <w:rPr>
          <w:rFonts w:ascii="David" w:hAnsi="David" w:cs="David"/>
          <w:sz w:val="24"/>
          <w:szCs w:val="24"/>
        </w:rPr>
        <w:t>.</w:t>
      </w:r>
    </w:p>
    <w:p w14:paraId="7EA7E7E2" w14:textId="77777777" w:rsidR="00106768" w:rsidRPr="00106768" w:rsidRDefault="00106768" w:rsidP="009F4D1A">
      <w:pPr>
        <w:numPr>
          <w:ilvl w:val="0"/>
          <w:numId w:val="2"/>
        </w:numPr>
        <w:spacing w:line="360" w:lineRule="auto"/>
        <w:jc w:val="both"/>
        <w:rPr>
          <w:rFonts w:ascii="David" w:hAnsi="David" w:cs="David"/>
          <w:sz w:val="24"/>
          <w:szCs w:val="24"/>
        </w:rPr>
      </w:pPr>
      <w:r w:rsidRPr="00106768">
        <w:rPr>
          <w:rFonts w:ascii="David" w:hAnsi="David" w:cs="David"/>
          <w:b/>
          <w:bCs/>
          <w:sz w:val="24"/>
          <w:szCs w:val="24"/>
          <w:rtl/>
        </w:rPr>
        <w:t>חובה משפטית וציבורית להעמיד לדין</w:t>
      </w:r>
      <w:r w:rsidRPr="00106768">
        <w:rPr>
          <w:rFonts w:ascii="David" w:hAnsi="David" w:cs="David"/>
          <w:sz w:val="24"/>
          <w:szCs w:val="24"/>
          <w:rtl/>
        </w:rPr>
        <w:t xml:space="preserve"> </w:t>
      </w:r>
      <w:r w:rsidRPr="00106768">
        <w:rPr>
          <w:rFonts w:ascii="David" w:hAnsi="David" w:cs="David"/>
          <w:sz w:val="24"/>
          <w:szCs w:val="24"/>
        </w:rPr>
        <w:t xml:space="preserve">– </w:t>
      </w:r>
      <w:r w:rsidRPr="00106768">
        <w:rPr>
          <w:rFonts w:ascii="David" w:hAnsi="David" w:cs="David"/>
          <w:sz w:val="24"/>
          <w:szCs w:val="24"/>
          <w:rtl/>
        </w:rPr>
        <w:t>מדובר בעבירה חמורה המחייבת נקיטת הליכים פליליים</w:t>
      </w:r>
      <w:r w:rsidRPr="00106768">
        <w:rPr>
          <w:rFonts w:ascii="David" w:hAnsi="David" w:cs="David"/>
          <w:sz w:val="24"/>
          <w:szCs w:val="24"/>
        </w:rPr>
        <w:t>.</w:t>
      </w:r>
    </w:p>
    <w:p w14:paraId="5529AC07" w14:textId="77777777" w:rsidR="00106768" w:rsidRDefault="00106768" w:rsidP="00106768">
      <w:pPr>
        <w:spacing w:line="360" w:lineRule="auto"/>
        <w:rPr>
          <w:rFonts w:ascii="David" w:hAnsi="David" w:cs="David"/>
          <w:b/>
          <w:bCs/>
          <w:sz w:val="24"/>
          <w:szCs w:val="24"/>
          <w:rtl/>
        </w:rPr>
      </w:pPr>
    </w:p>
    <w:p w14:paraId="7F886D6F" w14:textId="77777777" w:rsidR="00106768" w:rsidRDefault="00106768" w:rsidP="00106768">
      <w:pPr>
        <w:spacing w:line="360" w:lineRule="auto"/>
        <w:rPr>
          <w:rFonts w:ascii="David" w:hAnsi="David" w:cs="David"/>
          <w:sz w:val="24"/>
          <w:szCs w:val="24"/>
          <w:rtl/>
        </w:rPr>
      </w:pPr>
      <w:r w:rsidRPr="00106768">
        <w:rPr>
          <w:rFonts w:ascii="David" w:hAnsi="David" w:cs="David"/>
          <w:b/>
          <w:bCs/>
          <w:sz w:val="24"/>
          <w:szCs w:val="24"/>
          <w:rtl/>
        </w:rPr>
        <w:t>חשיבות והנחיצות של הסעד המבוקש</w:t>
      </w:r>
      <w:r w:rsidRPr="00106768">
        <w:rPr>
          <w:rFonts w:ascii="David" w:hAnsi="David" w:cs="David"/>
          <w:b/>
          <w:bCs/>
          <w:sz w:val="24"/>
          <w:szCs w:val="24"/>
        </w:rPr>
        <w:t>:</w:t>
      </w:r>
      <w:r w:rsidRPr="00106768">
        <w:rPr>
          <w:rFonts w:ascii="David" w:hAnsi="David" w:cs="David"/>
          <w:sz w:val="24"/>
          <w:szCs w:val="24"/>
        </w:rPr>
        <w:t xml:space="preserve"> </w:t>
      </w:r>
    </w:p>
    <w:p w14:paraId="0A77B839" w14:textId="423828F7" w:rsidR="00106768" w:rsidRPr="00106768" w:rsidRDefault="00106768" w:rsidP="009F4D1A">
      <w:pPr>
        <w:spacing w:line="360" w:lineRule="auto"/>
        <w:jc w:val="both"/>
        <w:rPr>
          <w:rFonts w:ascii="David" w:hAnsi="David" w:cs="David"/>
          <w:sz w:val="24"/>
          <w:szCs w:val="24"/>
        </w:rPr>
      </w:pPr>
      <w:r w:rsidRPr="00106768">
        <w:rPr>
          <w:rFonts w:ascii="David" w:hAnsi="David" w:cs="David"/>
          <w:sz w:val="24"/>
          <w:szCs w:val="24"/>
          <w:rtl/>
        </w:rPr>
        <w:t>הסעד המבוקש – ביטול החלטת הסגירה והעמדת החשוד לדין – הכרחי למען עשיית צדק. אם לא תתקבל הבקשה, יהיה בכך כדי לשלוח מסר שלילי הן לנפגעי עבירה נוספים והן לחשודים פוטנציאליים. הדבר יערער את אמון הציבור ברשויות ויגרום לתחושת חוסר צדק קשה</w:t>
      </w:r>
      <w:r w:rsidRPr="00106768">
        <w:rPr>
          <w:rFonts w:ascii="David" w:hAnsi="David" w:cs="David"/>
          <w:sz w:val="24"/>
          <w:szCs w:val="24"/>
        </w:rPr>
        <w:t>.</w:t>
      </w:r>
    </w:p>
    <w:p w14:paraId="79166C32" w14:textId="77777777" w:rsidR="00106768" w:rsidRDefault="00106768" w:rsidP="00106768">
      <w:pPr>
        <w:spacing w:line="360" w:lineRule="auto"/>
        <w:rPr>
          <w:rFonts w:ascii="David" w:hAnsi="David" w:cs="David"/>
          <w:b/>
          <w:bCs/>
          <w:sz w:val="24"/>
          <w:szCs w:val="24"/>
          <w:rtl/>
        </w:rPr>
      </w:pPr>
    </w:p>
    <w:p w14:paraId="2DE32492" w14:textId="3AB97DA8" w:rsidR="00106768" w:rsidRPr="00106768" w:rsidRDefault="00106768" w:rsidP="00106768">
      <w:pPr>
        <w:spacing w:line="360" w:lineRule="auto"/>
        <w:rPr>
          <w:rFonts w:ascii="David" w:hAnsi="David" w:cs="David"/>
          <w:sz w:val="24"/>
          <w:szCs w:val="24"/>
        </w:rPr>
      </w:pPr>
      <w:r w:rsidRPr="00106768">
        <w:rPr>
          <w:rFonts w:ascii="David" w:hAnsi="David" w:cs="David"/>
          <w:b/>
          <w:bCs/>
          <w:sz w:val="24"/>
          <w:szCs w:val="24"/>
          <w:rtl/>
        </w:rPr>
        <w:t>סעד מבוקש</w:t>
      </w:r>
      <w:r w:rsidRPr="00106768">
        <w:rPr>
          <w:rFonts w:ascii="David" w:hAnsi="David" w:cs="David"/>
          <w:b/>
          <w:bCs/>
          <w:sz w:val="24"/>
          <w:szCs w:val="24"/>
        </w:rPr>
        <w:t>:</w:t>
      </w:r>
      <w:r w:rsidRPr="00106768">
        <w:rPr>
          <w:rFonts w:ascii="David" w:hAnsi="David" w:cs="David"/>
          <w:sz w:val="24"/>
          <w:szCs w:val="24"/>
        </w:rPr>
        <w:t xml:space="preserve"> </w:t>
      </w:r>
      <w:r w:rsidRPr="00106768">
        <w:rPr>
          <w:rFonts w:ascii="David" w:hAnsi="David" w:cs="David"/>
          <w:sz w:val="24"/>
          <w:szCs w:val="24"/>
          <w:rtl/>
        </w:rPr>
        <w:t>ביטול החלטת הסגירה והנחיית המשיבה להעמיד את החשוד לדין</w:t>
      </w:r>
      <w:r w:rsidRPr="00106768">
        <w:rPr>
          <w:rFonts w:ascii="David" w:hAnsi="David" w:cs="David"/>
          <w:sz w:val="24"/>
          <w:szCs w:val="24"/>
        </w:rPr>
        <w:t>.</w:t>
      </w:r>
    </w:p>
    <w:p w14:paraId="7DFEC1E9" w14:textId="77777777" w:rsidR="00106768" w:rsidRPr="00106768" w:rsidRDefault="00106768" w:rsidP="00106768">
      <w:pPr>
        <w:spacing w:line="360" w:lineRule="auto"/>
        <w:ind w:left="4320"/>
        <w:rPr>
          <w:rFonts w:ascii="David" w:hAnsi="David" w:cs="David"/>
          <w:b/>
          <w:bCs/>
          <w:sz w:val="24"/>
          <w:szCs w:val="24"/>
        </w:rPr>
      </w:pPr>
      <w:r w:rsidRPr="00106768">
        <w:rPr>
          <w:rFonts w:ascii="David" w:hAnsi="David" w:cs="David"/>
          <w:b/>
          <w:bCs/>
          <w:sz w:val="24"/>
          <w:szCs w:val="24"/>
          <w:rtl/>
        </w:rPr>
        <w:t>בכבוד רב</w:t>
      </w:r>
      <w:r w:rsidRPr="00106768">
        <w:rPr>
          <w:rFonts w:ascii="David" w:hAnsi="David" w:cs="David"/>
          <w:b/>
          <w:bCs/>
          <w:sz w:val="24"/>
          <w:szCs w:val="24"/>
        </w:rPr>
        <w:t>,</w:t>
      </w:r>
    </w:p>
    <w:p w14:paraId="2FF0C166" w14:textId="77777777" w:rsidR="00106768" w:rsidRDefault="00106768" w:rsidP="00106768">
      <w:pPr>
        <w:spacing w:line="360" w:lineRule="auto"/>
        <w:ind w:left="4320"/>
        <w:rPr>
          <w:rFonts w:ascii="David" w:hAnsi="David" w:cs="David"/>
          <w:b/>
          <w:bCs/>
          <w:sz w:val="24"/>
          <w:szCs w:val="24"/>
          <w:rtl/>
        </w:rPr>
      </w:pPr>
      <w:r w:rsidRPr="00106768">
        <w:rPr>
          <w:rFonts w:ascii="David" w:hAnsi="David" w:cs="David"/>
          <w:b/>
          <w:bCs/>
          <w:sz w:val="24"/>
          <w:szCs w:val="24"/>
        </w:rPr>
        <w:t xml:space="preserve">____________ </w:t>
      </w:r>
    </w:p>
    <w:p w14:paraId="3C0CAFA9" w14:textId="33ACF273" w:rsidR="001A5058" w:rsidRPr="009F4D1A" w:rsidRDefault="00106768" w:rsidP="009F4D1A">
      <w:pPr>
        <w:spacing w:line="360" w:lineRule="auto"/>
        <w:ind w:left="4320"/>
        <w:rPr>
          <w:rFonts w:ascii="David" w:hAnsi="David" w:cs="David"/>
          <w:b/>
          <w:bCs/>
          <w:sz w:val="24"/>
          <w:szCs w:val="24"/>
        </w:rPr>
      </w:pPr>
      <w:r w:rsidRPr="00106768">
        <w:rPr>
          <w:rFonts w:ascii="David" w:hAnsi="David" w:cs="David"/>
          <w:b/>
          <w:bCs/>
          <w:sz w:val="24"/>
          <w:szCs w:val="24"/>
          <w:rtl/>
        </w:rPr>
        <w:t>ב"כ העורר</w:t>
      </w:r>
    </w:p>
    <w:sectPr w:rsidR="001A5058" w:rsidRPr="009F4D1A" w:rsidSect="00C26C0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D15522"/>
    <w:multiLevelType w:val="multilevel"/>
    <w:tmpl w:val="97FC18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74E713A"/>
    <w:multiLevelType w:val="multilevel"/>
    <w:tmpl w:val="11DA3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36349898">
    <w:abstractNumId w:val="0"/>
  </w:num>
  <w:num w:numId="2" w16cid:durableId="13900319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058"/>
    <w:rsid w:val="00106768"/>
    <w:rsid w:val="001A5058"/>
    <w:rsid w:val="001D7A7A"/>
    <w:rsid w:val="00440DE0"/>
    <w:rsid w:val="0049354F"/>
    <w:rsid w:val="0066095D"/>
    <w:rsid w:val="0096657D"/>
    <w:rsid w:val="009F4D1A"/>
    <w:rsid w:val="00C26C08"/>
    <w:rsid w:val="00CD7B66"/>
    <w:rsid w:val="00E9297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20E73"/>
  <w15:chartTrackingRefBased/>
  <w15:docId w15:val="{26A4DB04-ED6B-414A-8404-E6035412B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1A50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A50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A505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A505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A505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A505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A505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A505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A505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505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A505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A505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A505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A505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A50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A50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A50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A5058"/>
    <w:rPr>
      <w:rFonts w:eastAsiaTheme="majorEastAsia" w:cstheme="majorBidi"/>
      <w:color w:val="272727" w:themeColor="text1" w:themeTint="D8"/>
    </w:rPr>
  </w:style>
  <w:style w:type="paragraph" w:styleId="Title">
    <w:name w:val="Title"/>
    <w:basedOn w:val="Normal"/>
    <w:next w:val="Normal"/>
    <w:link w:val="TitleChar"/>
    <w:uiPriority w:val="10"/>
    <w:qFormat/>
    <w:rsid w:val="001A50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50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505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A50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A5058"/>
    <w:pPr>
      <w:spacing w:before="160"/>
      <w:jc w:val="center"/>
    </w:pPr>
    <w:rPr>
      <w:i/>
      <w:iCs/>
      <w:color w:val="404040" w:themeColor="text1" w:themeTint="BF"/>
    </w:rPr>
  </w:style>
  <w:style w:type="character" w:customStyle="1" w:styleId="QuoteChar">
    <w:name w:val="Quote Char"/>
    <w:basedOn w:val="DefaultParagraphFont"/>
    <w:link w:val="Quote"/>
    <w:uiPriority w:val="29"/>
    <w:rsid w:val="001A5058"/>
    <w:rPr>
      <w:i/>
      <w:iCs/>
      <w:color w:val="404040" w:themeColor="text1" w:themeTint="BF"/>
    </w:rPr>
  </w:style>
  <w:style w:type="paragraph" w:styleId="ListParagraph">
    <w:name w:val="List Paragraph"/>
    <w:basedOn w:val="Normal"/>
    <w:uiPriority w:val="34"/>
    <w:qFormat/>
    <w:rsid w:val="001A5058"/>
    <w:pPr>
      <w:ind w:left="720"/>
      <w:contextualSpacing/>
    </w:pPr>
  </w:style>
  <w:style w:type="character" w:styleId="IntenseEmphasis">
    <w:name w:val="Intense Emphasis"/>
    <w:basedOn w:val="DefaultParagraphFont"/>
    <w:uiPriority w:val="21"/>
    <w:qFormat/>
    <w:rsid w:val="001A5058"/>
    <w:rPr>
      <w:i/>
      <w:iCs/>
      <w:color w:val="0F4761" w:themeColor="accent1" w:themeShade="BF"/>
    </w:rPr>
  </w:style>
  <w:style w:type="paragraph" w:styleId="IntenseQuote">
    <w:name w:val="Intense Quote"/>
    <w:basedOn w:val="Normal"/>
    <w:next w:val="Normal"/>
    <w:link w:val="IntenseQuoteChar"/>
    <w:uiPriority w:val="30"/>
    <w:qFormat/>
    <w:rsid w:val="001A50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A5058"/>
    <w:rPr>
      <w:i/>
      <w:iCs/>
      <w:color w:val="0F4761" w:themeColor="accent1" w:themeShade="BF"/>
    </w:rPr>
  </w:style>
  <w:style w:type="character" w:styleId="IntenseReference">
    <w:name w:val="Intense Reference"/>
    <w:basedOn w:val="DefaultParagraphFont"/>
    <w:uiPriority w:val="32"/>
    <w:qFormat/>
    <w:rsid w:val="001A505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00061">
      <w:bodyDiv w:val="1"/>
      <w:marLeft w:val="0"/>
      <w:marRight w:val="0"/>
      <w:marTop w:val="0"/>
      <w:marBottom w:val="0"/>
      <w:divBdr>
        <w:top w:val="none" w:sz="0" w:space="0" w:color="auto"/>
        <w:left w:val="none" w:sz="0" w:space="0" w:color="auto"/>
        <w:bottom w:val="none" w:sz="0" w:space="0" w:color="auto"/>
        <w:right w:val="none" w:sz="0" w:space="0" w:color="auto"/>
      </w:divBdr>
    </w:div>
    <w:div w:id="180944967">
      <w:bodyDiv w:val="1"/>
      <w:marLeft w:val="0"/>
      <w:marRight w:val="0"/>
      <w:marTop w:val="0"/>
      <w:marBottom w:val="0"/>
      <w:divBdr>
        <w:top w:val="none" w:sz="0" w:space="0" w:color="auto"/>
        <w:left w:val="none" w:sz="0" w:space="0" w:color="auto"/>
        <w:bottom w:val="none" w:sz="0" w:space="0" w:color="auto"/>
        <w:right w:val="none" w:sz="0" w:space="0" w:color="auto"/>
      </w:divBdr>
    </w:div>
    <w:div w:id="291137875">
      <w:bodyDiv w:val="1"/>
      <w:marLeft w:val="0"/>
      <w:marRight w:val="0"/>
      <w:marTop w:val="0"/>
      <w:marBottom w:val="0"/>
      <w:divBdr>
        <w:top w:val="none" w:sz="0" w:space="0" w:color="auto"/>
        <w:left w:val="none" w:sz="0" w:space="0" w:color="auto"/>
        <w:bottom w:val="none" w:sz="0" w:space="0" w:color="auto"/>
        <w:right w:val="none" w:sz="0" w:space="0" w:color="auto"/>
      </w:divBdr>
    </w:div>
    <w:div w:id="403063103">
      <w:bodyDiv w:val="1"/>
      <w:marLeft w:val="0"/>
      <w:marRight w:val="0"/>
      <w:marTop w:val="0"/>
      <w:marBottom w:val="0"/>
      <w:divBdr>
        <w:top w:val="none" w:sz="0" w:space="0" w:color="auto"/>
        <w:left w:val="none" w:sz="0" w:space="0" w:color="auto"/>
        <w:bottom w:val="none" w:sz="0" w:space="0" w:color="auto"/>
        <w:right w:val="none" w:sz="0" w:space="0" w:color="auto"/>
      </w:divBdr>
    </w:div>
    <w:div w:id="975380901">
      <w:bodyDiv w:val="1"/>
      <w:marLeft w:val="0"/>
      <w:marRight w:val="0"/>
      <w:marTop w:val="0"/>
      <w:marBottom w:val="0"/>
      <w:divBdr>
        <w:top w:val="none" w:sz="0" w:space="0" w:color="auto"/>
        <w:left w:val="none" w:sz="0" w:space="0" w:color="auto"/>
        <w:bottom w:val="none" w:sz="0" w:space="0" w:color="auto"/>
        <w:right w:val="none" w:sz="0" w:space="0" w:color="auto"/>
      </w:divBdr>
    </w:div>
    <w:div w:id="214041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195</Words>
  <Characters>976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פרקטיקל</dc:creator>
  <cp:keywords/>
  <dc:description/>
  <cp:lastModifiedBy>Jasmine Mann Dahan</cp:lastModifiedBy>
  <cp:revision>4</cp:revision>
  <dcterms:created xsi:type="dcterms:W3CDTF">2025-02-19T08:43:00Z</dcterms:created>
  <dcterms:modified xsi:type="dcterms:W3CDTF">2025-03-11T08:22:00Z</dcterms:modified>
</cp:coreProperties>
</file>