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BCADD5" w14:textId="77777777" w:rsidR="000E2B0F" w:rsidRPr="000E2B0F" w:rsidRDefault="000E2B0F" w:rsidP="000E2B0F">
      <w:pPr>
        <w:shd w:val="clear" w:color="auto" w:fill="FFFFFF"/>
        <w:bidi/>
        <w:spacing w:before="440" w:after="120" w:line="240" w:lineRule="auto"/>
        <w:ind w:right="1134"/>
        <w:jc w:val="center"/>
        <w:rPr>
          <w:rFonts w:ascii="Times New Roman" w:eastAsia="Times New Roman" w:hAnsi="Times New Roman" w:cs="Times New Roman"/>
          <w:color w:val="000000"/>
          <w:sz w:val="20"/>
          <w:szCs w:val="20"/>
        </w:rPr>
      </w:pPr>
      <w:r w:rsidRPr="000E2B0F">
        <w:rPr>
          <w:rFonts w:ascii="FrankRuehl" w:eastAsia="Times New Roman" w:hAnsi="FrankRuehl" w:cs="FrankRuehl"/>
          <w:color w:val="000000"/>
          <w:sz w:val="32"/>
          <w:szCs w:val="32"/>
          <w:rtl/>
        </w:rPr>
        <w:t>חוק למניעת הטרדה מינית, תשנ"ח-1998</w:t>
      </w:r>
      <w:bookmarkStart w:id="0" w:name="m_-318819868069139716__ftnref1"/>
      <w:r w:rsidRPr="000E2B0F">
        <w:rPr>
          <w:rFonts w:ascii="Times New Roman" w:eastAsia="Times New Roman" w:hAnsi="Times New Roman" w:cs="Times New Roman"/>
          <w:color w:val="000000"/>
          <w:sz w:val="20"/>
          <w:szCs w:val="20"/>
          <w:rtl/>
        </w:rPr>
        <w:fldChar w:fldCharType="begin"/>
      </w:r>
      <w:r w:rsidRPr="000E2B0F">
        <w:rPr>
          <w:rFonts w:ascii="Times New Roman" w:eastAsia="Times New Roman" w:hAnsi="Times New Roman" w:cs="Times New Roman"/>
          <w:color w:val="000000"/>
          <w:sz w:val="20"/>
          <w:szCs w:val="20"/>
          <w:rtl/>
        </w:rPr>
        <w:instrText xml:space="preserve"> </w:instrText>
      </w:r>
      <w:r w:rsidRPr="000E2B0F">
        <w:rPr>
          <w:rFonts w:ascii="Times New Roman" w:eastAsia="Times New Roman" w:hAnsi="Times New Roman" w:cs="Times New Roman"/>
          <w:color w:val="000000"/>
          <w:sz w:val="20"/>
          <w:szCs w:val="20"/>
        </w:rPr>
        <w:instrText>HYPERLINK "https://www.nevo.co.il/law_html/Law01/245_001.htm" \l "_ftn1" \o "" \t "_blank</w:instrText>
      </w:r>
      <w:r w:rsidRPr="000E2B0F">
        <w:rPr>
          <w:rFonts w:ascii="Times New Roman" w:eastAsia="Times New Roman" w:hAnsi="Times New Roman" w:cs="Times New Roman"/>
          <w:color w:val="000000"/>
          <w:sz w:val="20"/>
          <w:szCs w:val="20"/>
          <w:rtl/>
        </w:rPr>
        <w:instrText xml:space="preserve">" </w:instrText>
      </w:r>
      <w:r w:rsidRPr="000E2B0F">
        <w:rPr>
          <w:rFonts w:ascii="Times New Roman" w:eastAsia="Times New Roman" w:hAnsi="Times New Roman" w:cs="Times New Roman"/>
          <w:color w:val="000000"/>
          <w:sz w:val="20"/>
          <w:szCs w:val="20"/>
          <w:rtl/>
        </w:rPr>
      </w:r>
      <w:r w:rsidRPr="000E2B0F">
        <w:rPr>
          <w:rFonts w:ascii="Times New Roman" w:eastAsia="Times New Roman" w:hAnsi="Times New Roman" w:cs="Times New Roman"/>
          <w:color w:val="000000"/>
          <w:sz w:val="20"/>
          <w:szCs w:val="20"/>
          <w:rtl/>
        </w:rPr>
        <w:fldChar w:fldCharType="separate"/>
      </w:r>
      <w:r w:rsidRPr="000E2B0F">
        <w:rPr>
          <w:rFonts w:ascii="Times New Roman" w:eastAsia="Times New Roman" w:hAnsi="Times New Roman" w:cs="Times New Roman" w:hint="cs"/>
          <w:color w:val="800080"/>
          <w:sz w:val="26"/>
          <w:szCs w:val="26"/>
          <w:u w:val="single"/>
          <w:rtl/>
        </w:rPr>
        <w:t>*</w:t>
      </w:r>
      <w:r w:rsidRPr="000E2B0F">
        <w:rPr>
          <w:rFonts w:ascii="Times New Roman" w:eastAsia="Times New Roman" w:hAnsi="Times New Roman" w:cs="Times New Roman"/>
          <w:color w:val="000000"/>
          <w:sz w:val="20"/>
          <w:szCs w:val="20"/>
          <w:rtl/>
        </w:rPr>
        <w:fldChar w:fldCharType="end"/>
      </w:r>
      <w:bookmarkEnd w:id="0"/>
    </w:p>
    <w:p w14:paraId="32657083"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1" w:name="m_-318819868069139716_Seif1"/>
      <w:bookmarkEnd w:id="1"/>
      <w:r w:rsidRPr="000E2B0F">
        <w:rPr>
          <w:rFonts w:ascii="Time New Roman" w:eastAsia="Times New Roman" w:hAnsi="Time New Roman" w:cs="Times New Roman"/>
          <w:b/>
          <w:bCs/>
          <w:color w:val="008000"/>
          <w:sz w:val="27"/>
          <w:szCs w:val="27"/>
          <w:rtl/>
        </w:rPr>
        <w:t>מטרת החוק</w:t>
      </w:r>
    </w:p>
    <w:p w14:paraId="789A2AE7"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Miriam" w:eastAsia="Times New Roman" w:hAnsi="Miriam" w:cs="Miriam"/>
          <w:color w:val="000000"/>
          <w:sz w:val="32"/>
          <w:szCs w:val="32"/>
          <w:rtl/>
        </w:rPr>
        <w:t>1</w:t>
      </w:r>
      <w:r w:rsidRPr="000E2B0F">
        <w:rPr>
          <w:rFonts w:ascii="FrankRuehl" w:eastAsia="Times New Roman" w:hAnsi="FrankRuehl" w:cs="FrankRuehl"/>
          <w:color w:val="000000"/>
          <w:sz w:val="26"/>
          <w:szCs w:val="26"/>
          <w:rtl/>
        </w:rPr>
        <w:t>.       חוק זה מטרתו לאסור הטרדה מינית כדי להגן על כבודו של אדם, על חירותו ועל פרטיותו, וכדי לקדם שוויון בין המינים.</w:t>
      </w:r>
    </w:p>
    <w:p w14:paraId="4D6CCD8A"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2" w:name="m_-318819868069139716_Seif2"/>
      <w:bookmarkEnd w:id="2"/>
      <w:r w:rsidRPr="000E2B0F">
        <w:rPr>
          <w:rFonts w:ascii="Time New Roman" w:eastAsia="Times New Roman" w:hAnsi="Time New Roman" w:cs="Times New Roman"/>
          <w:b/>
          <w:bCs/>
          <w:color w:val="008000"/>
          <w:sz w:val="27"/>
          <w:szCs w:val="27"/>
          <w:rtl/>
        </w:rPr>
        <w:t>הגדרות</w:t>
      </w:r>
    </w:p>
    <w:p w14:paraId="6215F714"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Miriam" w:eastAsia="Times New Roman" w:hAnsi="Miriam" w:cs="Miriam"/>
          <w:color w:val="000000"/>
          <w:sz w:val="32"/>
          <w:szCs w:val="32"/>
          <w:rtl/>
        </w:rPr>
        <w:t>2</w:t>
      </w:r>
      <w:r w:rsidRPr="000E2B0F">
        <w:rPr>
          <w:rFonts w:ascii="FrankRuehl" w:eastAsia="Times New Roman" w:hAnsi="FrankRuehl" w:cs="FrankRuehl"/>
          <w:color w:val="000000"/>
          <w:sz w:val="26"/>
          <w:szCs w:val="26"/>
          <w:rtl/>
        </w:rPr>
        <w:t>.       בחוק זה –</w:t>
      </w:r>
    </w:p>
    <w:p w14:paraId="7FB4B332"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13) תשע"ד-2014</w:t>
      </w:r>
    </w:p>
    <w:p w14:paraId="524B8BCF"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"אדם עם מוגבלות" – כהגדרתו בסעיף 5 לחוק שוויון זכויות לאנשים עם מוגבלות, התשנ"ח-1998;</w:t>
      </w:r>
    </w:p>
    <w:p w14:paraId="373F6DC6"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3" w:name="m_-318819868069139716_Rov32"/>
      <w:bookmarkEnd w:id="3"/>
      <w:r w:rsidRPr="000E2B0F">
        <w:rPr>
          <w:rFonts w:ascii="Time New Roman" w:eastAsia="Times New Roman" w:hAnsi="Time New Roman" w:cs="Times New Roman"/>
          <w:b/>
          <w:bCs/>
          <w:color w:val="008000"/>
          <w:sz w:val="27"/>
          <w:szCs w:val="27"/>
          <w:rtl/>
        </w:rPr>
        <w:t>(תיקון מס' 1) תשס"ד-2004 (תיקון מס' 11) תשע"ד-2014 (תיקון מס' 14) תשע"ז-2017</w:t>
      </w:r>
    </w:p>
    <w:p w14:paraId="17631C26"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"בשירות" – בשירות בכוחות הבטחון, מקום שאין בינם לבין המשרת בהם יחסי עבודה או בשירות אזרחי כהגדרתו בחוק שירות אזרחי, התשע"ז-2017;</w:t>
      </w:r>
    </w:p>
    <w:p w14:paraId="503BA1C4"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bookmarkStart w:id="4" w:name="m_-318819868069139716_Rov20"/>
      <w:bookmarkEnd w:id="4"/>
      <w:r w:rsidRPr="000E2B0F">
        <w:rPr>
          <w:rFonts w:ascii="FrankRuehl" w:eastAsia="Times New Roman" w:hAnsi="FrankRuehl" w:cs="FrankRuehl"/>
          <w:color w:val="000000"/>
          <w:sz w:val="26"/>
          <w:szCs w:val="26"/>
          <w:rtl/>
        </w:rPr>
        <w:t>          "הראה" – במילים או בהתנהגות, ובלבד שלא היה ספק סביר לגבי משמעות ההתנהגות;</w:t>
      </w:r>
    </w:p>
    <w:p w14:paraId="1AB9AC61"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"התייחסות" – בכתב, בעל פה, באמצעות מוצג חזותי או שמיעתי, לרבות באמצעות מחשב או חומר מחשב, או בהתנהגות;</w:t>
      </w:r>
    </w:p>
    <w:p w14:paraId="6016C659"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13) תשע"ד-2014</w:t>
      </w:r>
    </w:p>
    <w:p w14:paraId="64C43E9D"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"חוק זכויות לאנשים עם מוגבלות המועסקים כמשתקמים" – חוק זכויות לאנשים עם מוגבלות המועסקים כמשתקמים (הוראת שעה), התשס"ז-2007;</w:t>
      </w:r>
    </w:p>
    <w:p w14:paraId="57A2F7A8"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bookmarkStart w:id="5" w:name="m_-318819868069139716_Rov33"/>
      <w:bookmarkEnd w:id="5"/>
      <w:r w:rsidRPr="000E2B0F">
        <w:rPr>
          <w:rFonts w:ascii="FrankRuehl" w:eastAsia="Times New Roman" w:hAnsi="FrankRuehl" w:cs="FrankRuehl"/>
          <w:color w:val="000000"/>
          <w:sz w:val="26"/>
          <w:szCs w:val="26"/>
          <w:rtl/>
        </w:rPr>
        <w:t>          "חוק שוויון ההזדמנויות בעבודה" – חוק שוויון ההזדמנויות בעבודה, תשמ"ח-1988;</w:t>
      </w:r>
    </w:p>
    <w:p w14:paraId="2203D414"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"חוק העונשין" – חוק העונשין, תשל"ז-1977;</w:t>
      </w:r>
    </w:p>
    <w:p w14:paraId="07EBDA43"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"חסר ישע" – כהגדרתו בסעיף 368א לחוק העונשין;</w:t>
      </w:r>
    </w:p>
    <w:p w14:paraId="7E20EB64"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"כוחות הבטחון" – צבא הגנה לישראל, משטרת ישראל, שירות בתי הסוהר וארגוני הבטחון האחרים של המדינה;</w:t>
      </w:r>
    </w:p>
    <w:p w14:paraId="4FF35E3A"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"מחשב" ו"חומר מחשב" – כהגדרתם בחוק המחשבים, תשנ"ה-1995;</w:t>
      </w:r>
    </w:p>
    <w:p w14:paraId="4672BD7F"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11) תשע"ד-2014</w:t>
      </w:r>
    </w:p>
    <w:p w14:paraId="3ADC9697"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"מסגרת יחסי עבודה" – מקום העבודה, מקום אחר שבו מתנהלת פעילות מטעם המעסיק, תוך כדי העבודה, או תוך ניצול מרות ביחסי העבודה בכל מקום שהוא;</w:t>
      </w:r>
    </w:p>
    <w:p w14:paraId="3B89F672"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6" w:name="m_-318819868069139716_Rov23"/>
      <w:bookmarkEnd w:id="6"/>
      <w:r w:rsidRPr="000E2B0F">
        <w:rPr>
          <w:rFonts w:ascii="Time New Roman" w:eastAsia="Times New Roman" w:hAnsi="Time New Roman" w:cs="Times New Roman"/>
          <w:b/>
          <w:bCs/>
          <w:color w:val="008000"/>
          <w:sz w:val="27"/>
          <w:szCs w:val="27"/>
          <w:rtl/>
        </w:rPr>
        <w:t>(תיקון מס' 13) תשע"ד-2014</w:t>
      </w:r>
    </w:p>
    <w:p w14:paraId="36C05A37"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"מפעל מוגן" – כמשמעותו בסעיף 17 לחוק שכר מינימום, התשמ"ז-1987;</w:t>
      </w:r>
    </w:p>
    <w:p w14:paraId="0C51D1EA"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bookmarkStart w:id="7" w:name="m_-318819868069139716_Rov34"/>
      <w:bookmarkEnd w:id="7"/>
      <w:r w:rsidRPr="000E2B0F">
        <w:rPr>
          <w:rFonts w:ascii="FrankRuehl" w:eastAsia="Times New Roman" w:hAnsi="FrankRuehl" w:cs="FrankRuehl"/>
          <w:color w:val="000000"/>
          <w:sz w:val="26"/>
          <w:szCs w:val="26"/>
          <w:rtl/>
        </w:rPr>
        <w:t>          "קבלן כוח אדם" – כהגדרתו בסעיף 1 לחוק העסקת עובדים על ידי קבלני כוח אדם, תשנ"ו-1996;</w:t>
      </w:r>
    </w:p>
    <w:p w14:paraId="39EEC0FF"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"קטין" – אדם שטרם מלאו לו 18 שנים;</w:t>
      </w:r>
    </w:p>
    <w:p w14:paraId="176EB8F3"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14) תשע"ז-2017</w:t>
      </w:r>
    </w:p>
    <w:p w14:paraId="0DBA129B"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"שירות לאומי" – (נמחקה).</w:t>
      </w:r>
    </w:p>
    <w:p w14:paraId="36686CFF"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8" w:name="m_-318819868069139716_Rov37"/>
      <w:bookmarkStart w:id="9" w:name="m_-318819868069139716_Seif3"/>
      <w:bookmarkEnd w:id="8"/>
      <w:bookmarkEnd w:id="9"/>
      <w:r w:rsidRPr="000E2B0F">
        <w:rPr>
          <w:rFonts w:ascii="Time New Roman" w:eastAsia="Times New Roman" w:hAnsi="Time New Roman" w:cs="Times New Roman"/>
          <w:b/>
          <w:bCs/>
          <w:color w:val="008000"/>
          <w:sz w:val="27"/>
          <w:szCs w:val="27"/>
          <w:rtl/>
        </w:rPr>
        <w:t>הטרדה מינית והתנכלות</w:t>
      </w:r>
    </w:p>
    <w:p w14:paraId="5F2A3E50"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Miriam" w:eastAsia="Times New Roman" w:hAnsi="Miriam" w:cs="Miriam"/>
          <w:color w:val="000000"/>
          <w:sz w:val="32"/>
          <w:szCs w:val="32"/>
          <w:rtl/>
        </w:rPr>
        <w:t>3</w:t>
      </w:r>
      <w:r w:rsidRPr="000E2B0F">
        <w:rPr>
          <w:rFonts w:ascii="FrankRuehl" w:eastAsia="Times New Roman" w:hAnsi="FrankRuehl" w:cs="FrankRuehl"/>
          <w:color w:val="000000"/>
          <w:sz w:val="26"/>
          <w:szCs w:val="26"/>
          <w:rtl/>
        </w:rPr>
        <w:t>.       (א)  הטרדה מינית היא כל אחד ממעשים אלה:</w:t>
      </w:r>
    </w:p>
    <w:p w14:paraId="72A56E6F"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(1)   סחיטה באיומים, כמשמעותה בסעיף 428 לחוק העונשין, כאשר המעשה שהאדם נדרש לעשותו הוא בעל אופי מיני;</w:t>
      </w:r>
    </w:p>
    <w:p w14:paraId="4F8A7D54"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(2)   מעשים מגונים כמשמעותם בסעיפים 348 ו-349 לחוק העונשין;</w:t>
      </w:r>
    </w:p>
    <w:p w14:paraId="0EF6D3AA"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(3)   הצעות חוזרות בעלות אופי מיני, המופנות לאדם אשר הראה למטריד כי אינו מעונין בהצעות האמורות;</w:t>
      </w:r>
    </w:p>
    <w:p w14:paraId="2E22D390"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(4)   התייחסויות חוזרות המופנות לאדם, המתמקדות במיניותו, כאשר אותו אדם הראה למטריד כי אינו מעונין בהתייחסויות האמורות;</w:t>
      </w:r>
    </w:p>
    <w:p w14:paraId="091AF4A3"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(5)   התייחסות מבזה או משפילה המופנית לאדם ביחס למינו או למיניותו, לרבות נטייתו המינית;</w:t>
      </w:r>
    </w:p>
    <w:p w14:paraId="6A27C2F7" w14:textId="77777777" w:rsidR="000E2B0F" w:rsidRPr="000E2B0F" w:rsidRDefault="000E2B0F" w:rsidP="000E2B0F">
      <w:pPr>
        <w:shd w:val="clear" w:color="auto" w:fill="FFFFFF"/>
        <w:bidi/>
        <w:spacing w:before="72" w:after="0" w:line="240" w:lineRule="auto"/>
        <w:ind w:left="1021"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10) תשע"ד-2014</w:t>
      </w:r>
    </w:p>
    <w:p w14:paraId="126F6EF3"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lastRenderedPageBreak/>
        <w:t>(5א) פרסום תצלום, סרט או הקלטה של אדם, המתמקד במיניותו, בנסיבות שבהן הפרסום עלול להשפיל את האדם או לבזותו, ולא ניתנה הסכמתו לפרסום, ואולם במשפט פלילי או אזרחי לפי פסקה זו תהא זו הגנה טובה למפרסם אם מתקיים אחד מאלה:</w:t>
      </w:r>
    </w:p>
    <w:p w14:paraId="5800255C"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(א)   הפרסום נעשה בתום לב, בשים לב לנסיבות הפרסום, תוכנו, צורתו, היקפו ומטרתו;</w:t>
      </w:r>
    </w:p>
    <w:p w14:paraId="18A62665"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(ב)   הפרסום נעשה למטרה כשרה;</w:t>
      </w:r>
    </w:p>
    <w:p w14:paraId="391BC0B7"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(ג)    יש בפרסום עניין ציבורי המצדיק אותו בנסיבות העניין, ובלבד שאינו כוזב, או שהוא הבעת דעה או ביקורת על בעל תפקיד ציבורי בקשר לתפקידו, והפרסום לא חרג מתחום הסביר לשם השגת מטרתו;</w:t>
      </w:r>
    </w:p>
    <w:p w14:paraId="78BD0604"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בפסקה זו, "תצלום, סרט או הקלטה" – לרבות עריכה או שילוב של כל אחד מהם, ובלבד שבנסיבות העניין ניתן לזהות את האדם;</w:t>
      </w:r>
    </w:p>
    <w:p w14:paraId="069CC9FB" w14:textId="77777777" w:rsidR="000E2B0F" w:rsidRPr="000E2B0F" w:rsidRDefault="000E2B0F" w:rsidP="000E2B0F">
      <w:pPr>
        <w:shd w:val="clear" w:color="auto" w:fill="FFFFFF"/>
        <w:bidi/>
        <w:spacing w:before="72" w:after="0" w:line="240" w:lineRule="auto"/>
        <w:ind w:left="1021"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2) תשס"ד-2004 הוראת שעה תשס"ז-2007 (תיקון מס' 6) תש"ע-2010 (תיקון מס' 9) תשע"ד-2013 (תיקון מס' 13) תשע"ד-2014</w:t>
      </w:r>
    </w:p>
    <w:p w14:paraId="47FD65D8" w14:textId="77777777" w:rsidR="000E2B0F" w:rsidRPr="000E2B0F" w:rsidRDefault="000E2B0F" w:rsidP="000E2B0F">
      <w:pPr>
        <w:shd w:val="clear" w:color="auto" w:fill="FFFFFF"/>
        <w:bidi/>
        <w:spacing w:before="72" w:after="0" w:line="240" w:lineRule="auto"/>
        <w:ind w:left="1021"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(6)   הצעות או התייחסויות כאמור בפסקאות (3) או (4), המופנות למי מהמנויים בפסקאות המשנה שלהלן, בנסיבות המפורטות בפסקאות משנה אלה, גם אם המוטרד לא הראה למטריד כי אינו מעונין בהצעות או בהתייחסויות האמורות:</w:t>
      </w:r>
    </w:p>
    <w:p w14:paraId="5F38EA21"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4) תשס"ז-2007</w:t>
      </w:r>
    </w:p>
    <w:p w14:paraId="257AEBF3"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(א)   לקטין או לחסר ישע – תוך ניצול יחסי מרות, תלות, חינוך או טיפול, ואם טרם מלאו לקטין 15 שנים – גם בלא ניצול יחסים כאמור, ובלבד שהמטריד אינו קטין;</w:t>
      </w:r>
    </w:p>
    <w:p w14:paraId="77BA9BB2"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6) תש"ע-2010</w:t>
      </w:r>
    </w:p>
    <w:p w14:paraId="4CF3F460"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(ב)   למטופל, במסגרת טיפול נפשי, בריאותי, רפואי או פארה-רפואי – תוך ניצול תלות של המטופל במטפל; בפסקת משנה זו, "טיפול נפשי" – כהגדרתו בסעיף 347א לחוק העונשין;</w:t>
      </w:r>
    </w:p>
    <w:p w14:paraId="45F2D254"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(ג)    לעובד במסגרת יחסי עבודה, ולאדם בשירות במסגרת שירות – תוך ניצול מרות ביחסי עבודה או בשירות;</w:t>
      </w:r>
    </w:p>
    <w:p w14:paraId="0F7BB6FC"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2) תשס"ד-2004</w:t>
      </w:r>
    </w:p>
    <w:p w14:paraId="1827AC8E"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(ד)   לתלמיד בכיתה י"ב, י"ג או י"ד, שאינו קטין, תוך ניצול יחסי מרות בלימודים;</w:t>
      </w:r>
    </w:p>
    <w:p w14:paraId="4513703E"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2) תשס"ד-2004 (תיקון מס' 6) תש"ע-2010</w:t>
      </w:r>
    </w:p>
    <w:p w14:paraId="15C5DE42"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(ה)   לתלמיד או לסטודנט, הלומד במוסד המקנה השכלה עיונית, דתית או מקצועית לבוגרים (בחוק זה – מוסד להשכלה לבוגרים), תוך ניצול יחסי מרות בלימודים;</w:t>
      </w:r>
    </w:p>
    <w:p w14:paraId="62EC3462"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הוראת שעה תשס"ז-2007 (תיקון מס' 13) תשע"ד-2014</w:t>
      </w:r>
    </w:p>
    <w:p w14:paraId="1AA28C77"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(ו)    (פקעה);</w:t>
      </w:r>
    </w:p>
    <w:p w14:paraId="68F3642E"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6) תש"ע-2010</w:t>
      </w:r>
    </w:p>
    <w:p w14:paraId="5C572654"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(ז)    לאדם – תוך ניצול יחסי מרות או תלות, במסגרת הדרכה או ייעוץ של כהן דת או של מי שמתחזה להיום כהן דת או של אדם הידוע או המציג את עצמו כבעל סגולות רוחניות מיוחדות;</w:t>
      </w:r>
    </w:p>
    <w:p w14:paraId="16665AC1"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9) תשע"ד-2013</w:t>
      </w:r>
    </w:p>
    <w:p w14:paraId="6FB469B7"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(ח)   לאדם, מצדו של עובד הציבור במילוי תפקידו או בקשר אליו ותוך שימוש לרעה בסמכותו – תוך ניצול יחסי מרות או תלות של האדם בעובד הציבור; בפסקת משנה זו, "עובד הציבור" – כהגדרתו בסעיף 34כד לחוק העונשין;</w:t>
      </w:r>
    </w:p>
    <w:p w14:paraId="774875E2" w14:textId="77777777" w:rsidR="000E2B0F" w:rsidRPr="000E2B0F" w:rsidRDefault="000E2B0F" w:rsidP="000E2B0F">
      <w:pPr>
        <w:shd w:val="clear" w:color="auto" w:fill="FFFFFF"/>
        <w:bidi/>
        <w:spacing w:before="72" w:after="0" w:line="240" w:lineRule="auto"/>
        <w:ind w:left="1474" w:right="1134"/>
        <w:rPr>
          <w:rFonts w:ascii="Times New Roman" w:eastAsia="Times New Roman" w:hAnsi="Times New Roman" w:cs="Times New Roman"/>
          <w:color w:val="000000"/>
          <w:sz w:val="20"/>
          <w:szCs w:val="20"/>
          <w:rtl/>
        </w:rPr>
      </w:pPr>
      <w:r w:rsidRPr="000E2B0F">
        <w:rPr>
          <w:rFonts w:ascii="Time New Roman" w:eastAsia="Times New Roman" w:hAnsi="Time New Roman" w:cs="Times New Roman"/>
          <w:b/>
          <w:bCs/>
          <w:color w:val="008000"/>
          <w:sz w:val="27"/>
          <w:szCs w:val="27"/>
          <w:rtl/>
        </w:rPr>
        <w:t>(תיקון מס' 13) תשע"ד-2014</w:t>
      </w:r>
    </w:p>
    <w:p w14:paraId="31DF483A" w14:textId="77777777" w:rsidR="000E2B0F" w:rsidRPr="000E2B0F" w:rsidRDefault="000E2B0F" w:rsidP="000E2B0F">
      <w:pPr>
        <w:shd w:val="clear" w:color="auto" w:fill="FFFFFF"/>
        <w:bidi/>
        <w:spacing w:before="72" w:after="0" w:line="240" w:lineRule="auto"/>
        <w:ind w:left="1474"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(ט)   לאדם עם מוגבלות המועסק במפעל מוגן – תוך ניצול יחסי מרות או תלות.</w:t>
      </w:r>
    </w:p>
    <w:p w14:paraId="5DE2ACEA"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FrankRuehl" w:eastAsia="Times New Roman" w:hAnsi="FrankRuehl" w:cs="FrankRuehl"/>
          <w:color w:val="000000"/>
          <w:sz w:val="26"/>
          <w:szCs w:val="26"/>
          <w:rtl/>
        </w:rPr>
        <w:t>          (ב)  התנכלות היא פגיעה מכל סוג שהוא שמקורה בהטרדה מינית, או בתלונה או בתביעה, שהוגשו על הטרדה מינית.</w:t>
      </w:r>
    </w:p>
    <w:p w14:paraId="5C1070A9"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10" w:name="m_-318819868069139716_Rov35"/>
      <w:bookmarkStart w:id="11" w:name="m_-318819868069139716_Seif4"/>
      <w:bookmarkEnd w:id="10"/>
      <w:bookmarkEnd w:id="11"/>
      <w:r w:rsidRPr="000E2B0F">
        <w:rPr>
          <w:rFonts w:ascii="Time New Roman" w:eastAsia="Times New Roman" w:hAnsi="Time New Roman" w:cs="Times New Roman"/>
          <w:b/>
          <w:bCs/>
          <w:color w:val="008000"/>
          <w:sz w:val="27"/>
          <w:szCs w:val="27"/>
          <w:rtl/>
        </w:rPr>
        <w:t>איסור הטרדה מינית והתנכלות</w:t>
      </w:r>
    </w:p>
    <w:p w14:paraId="7DBEF38F"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Miriam" w:eastAsia="Times New Roman" w:hAnsi="Miriam" w:cs="Miriam"/>
          <w:color w:val="000000"/>
          <w:sz w:val="32"/>
          <w:szCs w:val="32"/>
          <w:rtl/>
        </w:rPr>
        <w:t>4</w:t>
      </w:r>
      <w:r w:rsidRPr="000E2B0F">
        <w:rPr>
          <w:rFonts w:ascii="FrankRuehl" w:eastAsia="Times New Roman" w:hAnsi="FrankRuehl" w:cs="FrankRuehl"/>
          <w:color w:val="000000"/>
          <w:sz w:val="26"/>
          <w:szCs w:val="26"/>
          <w:rtl/>
        </w:rPr>
        <w:t>.       לא יטריד אדם מינית את זולתו ולא יתנכל לו.</w:t>
      </w:r>
    </w:p>
    <w:p w14:paraId="2192B1EF" w14:textId="77777777" w:rsidR="000E2B0F" w:rsidRPr="000E2B0F" w:rsidRDefault="000E2B0F" w:rsidP="000E2B0F">
      <w:pPr>
        <w:shd w:val="clear" w:color="auto" w:fill="FFFFFF"/>
        <w:bidi/>
        <w:spacing w:before="72" w:after="0" w:line="240" w:lineRule="auto"/>
        <w:ind w:right="1134"/>
        <w:rPr>
          <w:rFonts w:ascii="Times New Roman" w:eastAsia="Times New Roman" w:hAnsi="Times New Roman" w:cs="Times New Roman"/>
          <w:color w:val="000000"/>
          <w:sz w:val="20"/>
          <w:szCs w:val="20"/>
          <w:rtl/>
        </w:rPr>
      </w:pPr>
      <w:bookmarkStart w:id="12" w:name="m_-318819868069139716_Seif5"/>
      <w:bookmarkEnd w:id="12"/>
      <w:r w:rsidRPr="000E2B0F">
        <w:rPr>
          <w:rFonts w:ascii="Time New Roman" w:eastAsia="Times New Roman" w:hAnsi="Time New Roman" w:cs="Times New Roman"/>
          <w:b/>
          <w:bCs/>
          <w:color w:val="008000"/>
          <w:sz w:val="27"/>
          <w:szCs w:val="27"/>
          <w:rtl/>
        </w:rPr>
        <w:t>הטרדה מינית והתנכלות – עבירות (תיקון מס' 10) תשע"ד-2014</w:t>
      </w:r>
    </w:p>
    <w:p w14:paraId="13C0D067" w14:textId="77777777" w:rsidR="000E2B0F" w:rsidRPr="000E2B0F" w:rsidRDefault="000E2B0F" w:rsidP="000E2B0F">
      <w:pPr>
        <w:shd w:val="clear" w:color="auto" w:fill="FFFFFF"/>
        <w:bidi/>
        <w:spacing w:before="72" w:after="0" w:line="240" w:lineRule="auto"/>
        <w:ind w:right="1134"/>
        <w:jc w:val="both"/>
        <w:rPr>
          <w:rFonts w:ascii="Times New Roman" w:eastAsia="Times New Roman" w:hAnsi="Times New Roman" w:cs="Times New Roman"/>
          <w:color w:val="000000"/>
          <w:sz w:val="20"/>
          <w:szCs w:val="20"/>
          <w:rtl/>
        </w:rPr>
      </w:pPr>
      <w:r w:rsidRPr="000E2B0F">
        <w:rPr>
          <w:rFonts w:ascii="Miriam" w:eastAsia="Times New Roman" w:hAnsi="Miriam" w:cs="Miriam"/>
          <w:color w:val="000000"/>
          <w:sz w:val="32"/>
          <w:szCs w:val="32"/>
          <w:rtl/>
        </w:rPr>
        <w:t>5</w:t>
      </w:r>
      <w:r w:rsidRPr="000E2B0F">
        <w:rPr>
          <w:rFonts w:ascii="FrankRuehl" w:eastAsia="Times New Roman" w:hAnsi="FrankRuehl" w:cs="FrankRuehl"/>
          <w:color w:val="000000"/>
          <w:sz w:val="26"/>
          <w:szCs w:val="26"/>
          <w:rtl/>
        </w:rPr>
        <w:t>.       (א)  המטריד מינית אדם כאמור בסעיף 3(א)(3), (4), (5) ו-(6), דינו – מאסר שנתיים; המטריד מינית אדם כאמור בסעיף 3(א)(5א), דינו כדין הפוגע במזיד בפרטיות זולתו כאמור בסעיף 5 לחוק הגנת הפרטיות, התשמ"א-1981.</w:t>
      </w:r>
    </w:p>
    <w:p w14:paraId="6707CA32" w14:textId="77777777" w:rsidR="006C12C7" w:rsidRPr="00452F14" w:rsidRDefault="000E2B0F" w:rsidP="00452F14">
      <w:pPr>
        <w:shd w:val="clear" w:color="auto" w:fill="FFFFFF"/>
        <w:bidi/>
        <w:spacing w:before="72" w:after="0" w:line="240" w:lineRule="auto"/>
        <w:ind w:right="1134"/>
        <w:jc w:val="both"/>
        <w:rPr>
          <w:rFonts w:ascii="Times New Roman" w:eastAsia="Times New Roman" w:hAnsi="Times New Roman" w:cs="Times New Roman"/>
          <w:color w:val="000000"/>
          <w:sz w:val="20"/>
          <w:szCs w:val="20"/>
        </w:rPr>
      </w:pPr>
      <w:r w:rsidRPr="000E2B0F">
        <w:rPr>
          <w:rFonts w:ascii="FrankRuehl" w:eastAsia="Times New Roman" w:hAnsi="FrankRuehl" w:cs="FrankRuehl"/>
          <w:color w:val="000000"/>
          <w:sz w:val="26"/>
          <w:szCs w:val="26"/>
          <w:rtl/>
        </w:rPr>
        <w:t>          (ב)  המתנכל לאדם כאמור בסעיף 3(ב), דינו - מאסר שלוש שנים.</w:t>
      </w:r>
    </w:p>
    <w:sectPr w:rsidR="006C12C7" w:rsidRPr="00452F14" w:rsidSect="00452F14">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Ruehl">
    <w:panose1 w:val="020E0503060101010101"/>
    <w:charset w:val="00"/>
    <w:family w:val="swiss"/>
    <w:pitch w:val="variable"/>
    <w:sig w:usb0="00000803" w:usb1="00000000" w:usb2="00000000" w:usb3="00000000" w:csb0="00000021" w:csb1="00000000"/>
  </w:font>
  <w:font w:name="Time New Roman">
    <w:altName w:val="Times New Roman"/>
    <w:panose1 w:val="00000000000000000000"/>
    <w:charset w:val="00"/>
    <w:family w:val="roman"/>
    <w:notTrueType/>
    <w:pitch w:val="default"/>
  </w:font>
  <w:font w:name="Miriam">
    <w:panose1 w:val="020B0502050101010101"/>
    <w:charset w:val="00"/>
    <w:family w:val="swiss"/>
    <w:pitch w:val="variable"/>
    <w:sig w:usb0="00000803" w:usb1="00000000"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B0F"/>
    <w:rsid w:val="00064CAF"/>
    <w:rsid w:val="000E2B0F"/>
    <w:rsid w:val="00452F14"/>
    <w:rsid w:val="0066095D"/>
    <w:rsid w:val="006C12C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D226A"/>
  <w15:chartTrackingRefBased/>
  <w15:docId w15:val="{23C7AC49-BD5A-4785-86A8-BA49EB0F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2B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E2B0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84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860</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3</cp:revision>
  <dcterms:created xsi:type="dcterms:W3CDTF">2019-12-11T10:31:00Z</dcterms:created>
  <dcterms:modified xsi:type="dcterms:W3CDTF">2025-03-11T08:27:00Z</dcterms:modified>
</cp:coreProperties>
</file>