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6C2ED" w14:textId="77777777" w:rsidR="00FA3828" w:rsidRPr="008A5D7A" w:rsidRDefault="009F749E" w:rsidP="009F749E">
      <w:pPr>
        <w:spacing w:before="120" w:line="360" w:lineRule="auto"/>
        <w:rPr>
          <w:rFonts w:cs="David"/>
          <w:b/>
          <w:bCs/>
          <w:sz w:val="32"/>
          <w:szCs w:val="32"/>
          <w:u w:val="single"/>
          <w:rtl/>
        </w:rPr>
      </w:pPr>
      <w:r w:rsidRPr="008A5D7A">
        <w:rPr>
          <w:rFonts w:cs="David" w:hint="cs"/>
          <w:b/>
          <w:bCs/>
          <w:sz w:val="32"/>
          <w:szCs w:val="32"/>
          <w:u w:val="single"/>
          <w:rtl/>
        </w:rPr>
        <w:t>סוגיית התפיסה והחילוט</w:t>
      </w:r>
    </w:p>
    <w:p w14:paraId="0A30F29D" w14:textId="77777777" w:rsidR="00C17493" w:rsidRPr="008A5D7A" w:rsidRDefault="00026844">
      <w:pPr>
        <w:rPr>
          <w:rFonts w:cs="David"/>
          <w:b/>
          <w:bCs/>
          <w:sz w:val="32"/>
          <w:szCs w:val="32"/>
          <w:u w:val="single"/>
          <w:rtl/>
        </w:rPr>
      </w:pPr>
      <w:r w:rsidRPr="008A5D7A">
        <w:rPr>
          <w:rFonts w:cs="David" w:hint="cs"/>
          <w:b/>
          <w:bCs/>
          <w:sz w:val="32"/>
          <w:szCs w:val="32"/>
          <w:u w:val="single"/>
          <w:rtl/>
        </w:rPr>
        <w:t>חקיקה רלוונטית</w:t>
      </w:r>
    </w:p>
    <w:p w14:paraId="12D835D3" w14:textId="77777777" w:rsidR="00026844" w:rsidRPr="00D25146" w:rsidRDefault="00026844">
      <w:pPr>
        <w:rPr>
          <w:rFonts w:cs="David"/>
          <w:sz w:val="32"/>
          <w:szCs w:val="32"/>
          <w:u w:val="single"/>
          <w:rtl/>
        </w:rPr>
      </w:pPr>
      <w:r w:rsidRPr="00D25146">
        <w:rPr>
          <w:rFonts w:cs="David" w:hint="cs"/>
          <w:sz w:val="32"/>
          <w:szCs w:val="32"/>
          <w:u w:val="single"/>
          <w:rtl/>
        </w:rPr>
        <w:t>פקודת סדר הדין הפלילי מעצר וחיפוש</w:t>
      </w:r>
    </w:p>
    <w:p w14:paraId="0B958964" w14:textId="77777777" w:rsidR="00026844" w:rsidRPr="008A5D7A" w:rsidRDefault="00026844" w:rsidP="00026844">
      <w:pPr>
        <w:pStyle w:val="medium2-header"/>
        <w:bidi/>
        <w:spacing w:before="72" w:beforeAutospacing="0" w:after="0" w:afterAutospacing="0"/>
        <w:ind w:right="1134"/>
        <w:jc w:val="center"/>
        <w:rPr>
          <w:rFonts w:cs="David"/>
          <w:color w:val="000000"/>
          <w:sz w:val="32"/>
          <w:szCs w:val="32"/>
          <w:u w:val="single"/>
        </w:rPr>
      </w:pPr>
      <w:r w:rsidRPr="008A5D7A">
        <w:rPr>
          <w:rFonts w:cs="David" w:hint="cs"/>
          <w:color w:val="000000"/>
          <w:sz w:val="32"/>
          <w:szCs w:val="32"/>
          <w:u w:val="single"/>
          <w:rtl/>
        </w:rPr>
        <w:t>פרק רביעי: תפיסת חפצים</w:t>
      </w:r>
    </w:p>
    <w:p w14:paraId="02C47B7A"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0" w:name="Seif17"/>
      <w:bookmarkEnd w:id="0"/>
      <w:r w:rsidRPr="00A96E33">
        <w:rPr>
          <w:rStyle w:val="big-number"/>
          <w:rFonts w:ascii="Time New Roman" w:hAnsi="Time New Roman" w:cs="David"/>
          <w:b/>
          <w:bCs/>
          <w:color w:val="008000"/>
          <w:sz w:val="32"/>
          <w:szCs w:val="32"/>
          <w:u w:val="single"/>
          <w:rtl/>
        </w:rPr>
        <w:t>סמכות לתפוס חפצים</w:t>
      </w:r>
      <w:r w:rsidRPr="008A5D7A">
        <w:rPr>
          <w:rStyle w:val="big-number"/>
          <w:rFonts w:ascii="Time New Roman" w:hAnsi="Time New Roman" w:cs="David"/>
          <w:b/>
          <w:bCs/>
          <w:color w:val="008000"/>
          <w:sz w:val="32"/>
          <w:szCs w:val="32"/>
          <w:rtl/>
        </w:rPr>
        <w:t xml:space="preserve"> (תיקון מס' 1)  תש"ל-1970</w:t>
      </w:r>
    </w:p>
    <w:p w14:paraId="46C1A8FF"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A96E33">
        <w:rPr>
          <w:rStyle w:val="big-number"/>
          <w:rFonts w:cs="David" w:hint="cs"/>
          <w:color w:val="000000"/>
          <w:sz w:val="32"/>
          <w:szCs w:val="32"/>
          <w:u w:val="single"/>
          <w:rtl/>
        </w:rPr>
        <w:t>32.</w:t>
      </w:r>
      <w:r w:rsidRPr="008A5D7A">
        <w:rPr>
          <w:rStyle w:val="big-number"/>
          <w:rFonts w:cs="David" w:hint="cs"/>
          <w:color w:val="000000"/>
          <w:sz w:val="32"/>
          <w:szCs w:val="32"/>
          <w:rtl/>
        </w:rPr>
        <w:t>  </w:t>
      </w:r>
      <w:r w:rsidRPr="008A5D7A">
        <w:rPr>
          <w:rStyle w:val="default"/>
          <w:rFonts w:cs="David" w:hint="cs"/>
          <w:color w:val="000000"/>
          <w:sz w:val="32"/>
          <w:szCs w:val="32"/>
          <w:rtl/>
        </w:rPr>
        <w:t>(א)  </w:t>
      </w:r>
      <w:r w:rsidRPr="00A96E33">
        <w:rPr>
          <w:rStyle w:val="default"/>
          <w:rFonts w:cs="David" w:hint="cs"/>
          <w:b/>
          <w:bCs/>
          <w:color w:val="000000"/>
          <w:sz w:val="32"/>
          <w:szCs w:val="32"/>
          <w:rtl/>
        </w:rPr>
        <w:t>רשאי שוטר לתפוס חפץ, אם יש לו יסוד סביר להניח כי באותו חפץ נעברה, או עומדים לעבור, עבירה, או שהוא עשוי לשמש ראיה בהליך משפטי בשל עבירה, או שניתן כשכר בעד ביצוע עבירה או כאמצעי לביצועה.</w:t>
      </w:r>
    </w:p>
    <w:p w14:paraId="0E7D28E4" w14:textId="77777777" w:rsidR="00026844" w:rsidRPr="008A5D7A" w:rsidRDefault="00026844" w:rsidP="00026844">
      <w:pPr>
        <w:pStyle w:val="p00"/>
        <w:bidi/>
        <w:spacing w:before="72" w:beforeAutospacing="0" w:after="0" w:afterAutospacing="0"/>
        <w:ind w:right="1134"/>
        <w:rPr>
          <w:rFonts w:cs="David"/>
          <w:color w:val="000000"/>
          <w:sz w:val="32"/>
          <w:szCs w:val="32"/>
          <w:rtl/>
        </w:rPr>
      </w:pPr>
      <w:r w:rsidRPr="008A5D7A">
        <w:rPr>
          <w:rFonts w:ascii="Time New Roman" w:hAnsi="Time New Roman" w:cs="David"/>
          <w:b/>
          <w:bCs/>
          <w:color w:val="008000"/>
          <w:sz w:val="32"/>
          <w:szCs w:val="32"/>
          <w:rtl/>
        </w:rPr>
        <w:t>(תיקון מס' 6) תשנ"ה-1995</w:t>
      </w:r>
    </w:p>
    <w:p w14:paraId="72966CAC"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(ב)  על אף הוראות פרק זה, לא ייתפס מחשב או דבר המגלם חומר מחשב, אם הוא נמצא בשימושו של מוסד כהגדרתו בסעיף 35 לפקודת הראיות [נוסח חדש], תשל"א-1971, אלא על-פי צו של בית משפט; צו שניתן שלא במעמד המחזיק במחשב או בדבר המגלם חומר מחשב, יינתן לתקופה שאינה עולה על 48 שעות; לענין זה לא יובאו שבתות ומועדים במנין השעות; בית משפט רשאי להאריך את הצו לאחר שניתנה למחזיק הזדמנות להשמיע טענותיו.</w:t>
      </w:r>
    </w:p>
    <w:p w14:paraId="0FD3E505" w14:textId="77777777" w:rsidR="00026844" w:rsidRPr="008A5D7A" w:rsidRDefault="00026844" w:rsidP="00026844">
      <w:pPr>
        <w:pStyle w:val="p00"/>
        <w:bidi/>
        <w:spacing w:before="72" w:beforeAutospacing="0" w:after="0" w:afterAutospacing="0"/>
        <w:ind w:right="1134"/>
        <w:rPr>
          <w:rFonts w:cs="David"/>
          <w:color w:val="000000"/>
          <w:sz w:val="32"/>
          <w:szCs w:val="32"/>
          <w:rtl/>
        </w:rPr>
      </w:pPr>
      <w:r w:rsidRPr="008A5D7A">
        <w:rPr>
          <w:rStyle w:val="default"/>
          <w:rFonts w:ascii="Time New Roman" w:hAnsi="Time New Roman" w:cs="David"/>
          <w:b/>
          <w:bCs/>
          <w:color w:val="008000"/>
          <w:sz w:val="32"/>
          <w:szCs w:val="32"/>
          <w:rtl/>
        </w:rPr>
        <w:t>(תיקון מס' 12) תשס"ה-2005</w:t>
      </w:r>
    </w:p>
    <w:p w14:paraId="4F059EE6"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default"/>
          <w:rFonts w:cs="David" w:hint="cs"/>
          <w:color w:val="000000"/>
          <w:sz w:val="32"/>
          <w:szCs w:val="32"/>
          <w:rtl/>
        </w:rPr>
        <w:t>          (ב1) נתפס מחשב שאינו בשימושו של מוסד כהגדרתו בסעיף קטן (ב) וניתן להפרידו מדבר המגלם חומר מחשב, והמחשב אינו דרוש לצורך חילוטו או הגשתו כראיה לבית המשפט, תחזיר המשטרה את המחשב לאדם שממנו נלקח בתוך 30 ימים מיום תפיסתו, ואולם רשאי בית משפט שלום לצוות על הארכת התקופה האמורה לתקופה שלא תעלה על 30 ימים, ולחזור ולצוות על כך מעת לעת.</w:t>
      </w:r>
    </w:p>
    <w:p w14:paraId="25ADAC3B" w14:textId="77777777" w:rsidR="00026844" w:rsidRPr="008A5D7A" w:rsidRDefault="00026844" w:rsidP="00026844">
      <w:pPr>
        <w:pStyle w:val="p00"/>
        <w:bidi/>
        <w:spacing w:before="72" w:beforeAutospacing="0" w:after="0" w:afterAutospacing="0"/>
        <w:ind w:right="1134"/>
        <w:rPr>
          <w:rFonts w:cs="David"/>
          <w:color w:val="000000"/>
          <w:sz w:val="32"/>
          <w:szCs w:val="32"/>
          <w:rtl/>
        </w:rPr>
      </w:pPr>
      <w:r w:rsidRPr="008A5D7A">
        <w:rPr>
          <w:rFonts w:ascii="Time New Roman" w:hAnsi="Time New Roman" w:cs="David"/>
          <w:b/>
          <w:bCs/>
          <w:color w:val="008000"/>
          <w:sz w:val="32"/>
          <w:szCs w:val="32"/>
          <w:rtl/>
        </w:rPr>
        <w:t>(תיקון מס' 6) תשנ"ה-1995</w:t>
      </w:r>
    </w:p>
    <w:p w14:paraId="12B522A3"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(ג)   שר המשפטים רשאי להתקין תקנות לענין סעיף זה.</w:t>
      </w:r>
    </w:p>
    <w:p w14:paraId="49FE7A77"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1" w:name="Rov56"/>
      <w:bookmarkStart w:id="2" w:name="Seif35"/>
      <w:bookmarkEnd w:id="1"/>
      <w:bookmarkEnd w:id="2"/>
      <w:r w:rsidRPr="008A5D7A">
        <w:rPr>
          <w:rStyle w:val="big-number"/>
          <w:rFonts w:ascii="Time New Roman" w:hAnsi="Time New Roman" w:cs="David"/>
          <w:b/>
          <w:bCs/>
          <w:color w:val="008000"/>
          <w:sz w:val="32"/>
          <w:szCs w:val="32"/>
          <w:rtl/>
        </w:rPr>
        <w:t>העתקת חומר מחשב (תיקון מס' 12) תשס"ה-2005</w:t>
      </w:r>
    </w:p>
    <w:p w14:paraId="42AD0A5C"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32</w:t>
      </w:r>
      <w:r w:rsidRPr="008A5D7A">
        <w:rPr>
          <w:rStyle w:val="default"/>
          <w:rFonts w:cs="David" w:hint="cs"/>
          <w:color w:val="000000"/>
          <w:sz w:val="32"/>
          <w:szCs w:val="32"/>
          <w:rtl/>
        </w:rPr>
        <w:t>א.  (א)  לבקשת אדם המשתמש במחשב שנתפס לפי הוראות חוק זה או שיש לו חומר מחשב במחשב כאמור, תאפשר לו המשטרה לקבל העתק מחומר המחשב הדרוש לו, בתוך ארבעה ימים מיום התפיסה; קצין בדרגת סגן ניצב או בדרגה גבוהה מזאת רשאי להורות שמסירת ההעתק תידחה, ולחזור ולהורות על כך מעת לעת, ובלבד שכל תקופת דחיה לא תעלה על ארבעה ימים ושסך כל תקופות הדחיה לא יעלה על 16 ימים; בית משפט שלום רשאי בנסיבות מיוחדות  לצוות שמסירת ההעתק תידחה לתקופה נוספת, ולחזור ולצוות כך מעת לעת, ובלבד שכל תקופת דחיה לא תעלה על 15 ימים.</w:t>
      </w:r>
    </w:p>
    <w:p w14:paraId="0373512E"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default"/>
          <w:rFonts w:cs="David" w:hint="cs"/>
          <w:color w:val="000000"/>
          <w:sz w:val="32"/>
          <w:szCs w:val="32"/>
          <w:rtl/>
        </w:rPr>
        <w:lastRenderedPageBreak/>
        <w:t>          (ב)  על אף האמור בסעיף קטן (א), קצין משטרה בדרגת מפקח משנה או בדרגה גבוהה מזו רשאי שלא לאפשר מסירת העתק כאמור אם סבר כי קיים חשש סביר שמסירת ההעתק תביא לשיבוש החקירה או לביצוע עבירה.</w:t>
      </w:r>
    </w:p>
    <w:p w14:paraId="79FDF872"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default"/>
          <w:rFonts w:cs="David" w:hint="cs"/>
          <w:color w:val="000000"/>
          <w:sz w:val="32"/>
          <w:szCs w:val="32"/>
          <w:rtl/>
        </w:rPr>
        <w:t>          (ג)   העתקת חומר המחשב תהיה במקום שהמשטרה הועידה לכך, ותתבצע בידי בעל תפקיד מיומן כאמור בסעיף 23א.</w:t>
      </w:r>
    </w:p>
    <w:p w14:paraId="1F312A19"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default"/>
          <w:rFonts w:cs="David" w:hint="cs"/>
          <w:color w:val="000000"/>
          <w:sz w:val="32"/>
          <w:szCs w:val="32"/>
          <w:rtl/>
        </w:rPr>
        <w:t>          (ד)  על דחיית בקשה לקבל העתק מחומר מחשב לפי סעיף זה רשאי מי שהגיש בקשה לפי סעיף קטן (א) לערור לפני בית משפט שלום.</w:t>
      </w:r>
    </w:p>
    <w:p w14:paraId="3C28BE26"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3" w:name="Rov57"/>
      <w:bookmarkStart w:id="4" w:name="Seif18"/>
      <w:bookmarkEnd w:id="3"/>
      <w:bookmarkEnd w:id="4"/>
      <w:r w:rsidRPr="008A5D7A">
        <w:rPr>
          <w:rStyle w:val="big-number"/>
          <w:rFonts w:ascii="Time New Roman" w:hAnsi="Time New Roman" w:cs="David"/>
          <w:b/>
          <w:bCs/>
          <w:color w:val="008000"/>
          <w:sz w:val="32"/>
          <w:szCs w:val="32"/>
          <w:rtl/>
        </w:rPr>
        <w:t>שמירת התפוס</w:t>
      </w:r>
    </w:p>
    <w:p w14:paraId="02139312"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33.  </w:t>
      </w:r>
      <w:r w:rsidRPr="008A5D7A">
        <w:rPr>
          <w:rStyle w:val="default"/>
          <w:rFonts w:cs="David" w:hint="cs"/>
          <w:color w:val="000000"/>
          <w:sz w:val="32"/>
          <w:szCs w:val="32"/>
          <w:rtl/>
        </w:rPr>
        <w:t>נתפס חפץ כאמור בסעיף 32, או הגיע לידי המשטרה חפץ שאחד התנאים האמורים בסעיף 32 חל עליו, רשאית המשטרה, בכפוף לאמור בסעיף 34, לשמרו עד אשר יוגש לבית המשפט.</w:t>
      </w:r>
    </w:p>
    <w:p w14:paraId="43FDD628"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5" w:name="Seif19"/>
      <w:bookmarkEnd w:id="5"/>
      <w:r w:rsidRPr="008A5D7A">
        <w:rPr>
          <w:rStyle w:val="big-number"/>
          <w:rFonts w:ascii="Time New Roman" w:hAnsi="Time New Roman" w:cs="David"/>
          <w:b/>
          <w:bCs/>
          <w:color w:val="008000"/>
          <w:sz w:val="32"/>
          <w:szCs w:val="32"/>
          <w:rtl/>
        </w:rPr>
        <w:t>מסירת התפוס לפי צו</w:t>
      </w:r>
    </w:p>
    <w:p w14:paraId="7C0D9459"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34.  </w:t>
      </w:r>
      <w:r w:rsidRPr="008A5D7A">
        <w:rPr>
          <w:rStyle w:val="default"/>
          <w:rFonts w:cs="David" w:hint="cs"/>
          <w:color w:val="000000"/>
          <w:sz w:val="32"/>
          <w:szCs w:val="32"/>
          <w:rtl/>
        </w:rPr>
        <w:t>על פי בקשת שוטר שהוסמך לכך על ידי קצין משטרה בדרגת מפקח משנה או בדרגה גבוהה מזו דרך כלל או לענין מסויים (להלן – שוטר מוסמך), או על פי בקשת אדם התובע זכות בחפץ, רשאי בית משפט שלום לצוות כי החפץ יימסר לתובע הזכות או לאדם פלוני, או שינהגו בו אחרת כפי שיורה בית המשפט – הכל בתנאים שייקבעו בצו.</w:t>
      </w:r>
    </w:p>
    <w:p w14:paraId="300106AE" w14:textId="77777777" w:rsidR="00D11DC6" w:rsidRPr="008A5D7A" w:rsidRDefault="00D11DC6" w:rsidP="00D11DC6">
      <w:pPr>
        <w:pStyle w:val="p00"/>
        <w:bidi/>
        <w:spacing w:before="72" w:beforeAutospacing="0" w:after="0" w:afterAutospacing="0"/>
        <w:ind w:right="1134"/>
        <w:rPr>
          <w:rStyle w:val="big-number"/>
          <w:rFonts w:ascii="Time New Roman" w:hAnsi="Time New Roman" w:cs="David"/>
          <w:b/>
          <w:bCs/>
          <w:color w:val="008000"/>
          <w:sz w:val="32"/>
          <w:szCs w:val="32"/>
          <w:rtl/>
        </w:rPr>
      </w:pPr>
      <w:bookmarkStart w:id="6" w:name="Seif20"/>
      <w:bookmarkEnd w:id="6"/>
    </w:p>
    <w:p w14:paraId="326A0DDD" w14:textId="77777777" w:rsidR="00026844" w:rsidRPr="008A5D7A" w:rsidRDefault="00026844" w:rsidP="00D11DC6">
      <w:pPr>
        <w:pStyle w:val="p00"/>
        <w:bidi/>
        <w:spacing w:before="72" w:beforeAutospacing="0" w:after="0" w:afterAutospacing="0"/>
        <w:ind w:right="1134"/>
        <w:rPr>
          <w:rFonts w:cs="David"/>
          <w:color w:val="000000"/>
          <w:sz w:val="32"/>
          <w:szCs w:val="32"/>
          <w:rtl/>
        </w:rPr>
      </w:pPr>
      <w:r w:rsidRPr="008A5D7A">
        <w:rPr>
          <w:rStyle w:val="big-number"/>
          <w:rFonts w:ascii="Time New Roman" w:hAnsi="Time New Roman" w:cs="David"/>
          <w:b/>
          <w:bCs/>
          <w:color w:val="008000"/>
          <w:sz w:val="32"/>
          <w:szCs w:val="32"/>
          <w:rtl/>
        </w:rPr>
        <w:t>החזרת התפוס על ידי המשטרה</w:t>
      </w:r>
    </w:p>
    <w:p w14:paraId="29A2AA28"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35.  </w:t>
      </w:r>
      <w:r w:rsidRPr="008A5D7A">
        <w:rPr>
          <w:rStyle w:val="default"/>
          <w:rFonts w:cs="David" w:hint="cs"/>
          <w:color w:val="000000"/>
          <w:sz w:val="32"/>
          <w:szCs w:val="32"/>
          <w:rtl/>
        </w:rPr>
        <w:t>אם תוך ששה חדשים מיום תפיסת החפץ על ידי המשטרה, או מיום שהגיע לידיה, לא הוגש המשפט אשר בו צריך החפץ לשמש ראיה ולא ניתן צו על אותו חפץ לפי סעיף 34, תחזיר המשטרה את החפץ לאדם אשר מידיו נלקח; אך רשאי בית משפט שלום, על-פי בקשת שוטר מוסמך או אדם מעוניין, להאריך את התקופה בתנאים שיקבע.</w:t>
      </w:r>
    </w:p>
    <w:p w14:paraId="60669653"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7" w:name="Seif21"/>
      <w:bookmarkEnd w:id="7"/>
      <w:r w:rsidRPr="008A5D7A">
        <w:rPr>
          <w:rStyle w:val="big-number"/>
          <w:rFonts w:ascii="Time New Roman" w:hAnsi="Time New Roman" w:cs="David"/>
          <w:b/>
          <w:bCs/>
          <w:color w:val="008000"/>
          <w:sz w:val="32"/>
          <w:szCs w:val="32"/>
          <w:rtl/>
        </w:rPr>
        <w:t>הכרעת בית-המשפט בתפוס</w:t>
      </w:r>
    </w:p>
    <w:p w14:paraId="5AA1C72A"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36.  </w:t>
      </w:r>
      <w:r w:rsidRPr="008A5D7A">
        <w:rPr>
          <w:rStyle w:val="default"/>
          <w:rFonts w:cs="David" w:hint="cs"/>
          <w:color w:val="000000"/>
          <w:sz w:val="32"/>
          <w:szCs w:val="32"/>
          <w:rtl/>
        </w:rPr>
        <w:t>הוגש החפץ כראיה לבית המשפט, רשאי בית המשפט, בין בפסק דינו בענין הנדון ובין בצו מיוחד, לצוות מה ייעשה בו; הוראות סעיף זה באות להוסיף על סמכויות בית המשפט לפי כל דין אחר, ולא לגרוע מהן.</w:t>
      </w:r>
    </w:p>
    <w:p w14:paraId="0B628E5F"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8" w:name="Seif22"/>
      <w:bookmarkEnd w:id="8"/>
      <w:r w:rsidRPr="008A5D7A">
        <w:rPr>
          <w:rStyle w:val="big-number"/>
          <w:rFonts w:ascii="Time New Roman" w:hAnsi="Time New Roman" w:cs="David"/>
          <w:b/>
          <w:bCs/>
          <w:color w:val="008000"/>
          <w:sz w:val="32"/>
          <w:szCs w:val="32"/>
          <w:rtl/>
        </w:rPr>
        <w:t>חפץ שלא הוגש כראיה</w:t>
      </w:r>
    </w:p>
    <w:p w14:paraId="5EFC8C81"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37.  </w:t>
      </w:r>
      <w:r w:rsidRPr="008A5D7A">
        <w:rPr>
          <w:rStyle w:val="default"/>
          <w:rFonts w:cs="David" w:hint="cs"/>
          <w:color w:val="000000"/>
          <w:sz w:val="32"/>
          <w:szCs w:val="32"/>
          <w:rtl/>
        </w:rPr>
        <w:t>הוגש משפט ולא הוגש החפץ כראיה לבית המשפט, הרי אם היה המשפט נגד אדם על עבירה שעבר באותו חפץ או לגביו, רשאי בית המשפט לצוות כאמור בסעיף 34; לא ניתן צו לפי סעיף 34 או שלא היה משפט נגד אדם על עבירה כאמור, תחזיר המשטרה את החפץ לאדם שמידיו נלקח.</w:t>
      </w:r>
    </w:p>
    <w:p w14:paraId="19A72155"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9" w:name="Seif23"/>
      <w:bookmarkEnd w:id="9"/>
      <w:r w:rsidRPr="008A5D7A">
        <w:rPr>
          <w:rStyle w:val="big-number"/>
          <w:rFonts w:ascii="Time New Roman" w:hAnsi="Time New Roman" w:cs="David"/>
          <w:b/>
          <w:bCs/>
          <w:color w:val="008000"/>
          <w:sz w:val="32"/>
          <w:szCs w:val="32"/>
          <w:rtl/>
        </w:rPr>
        <w:t>צו מכירה</w:t>
      </w:r>
    </w:p>
    <w:p w14:paraId="3BB68602"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lastRenderedPageBreak/>
        <w:t>38.  </w:t>
      </w:r>
      <w:r w:rsidRPr="008A5D7A">
        <w:rPr>
          <w:rStyle w:val="default"/>
          <w:rFonts w:cs="David" w:hint="cs"/>
          <w:color w:val="000000"/>
          <w:sz w:val="32"/>
          <w:szCs w:val="32"/>
          <w:rtl/>
        </w:rPr>
        <w:t>היה החפץ בעל חיים או מצרך שעלול להתקלקל, בין בגלל טיבו המיוחד ובין מסיבה אחרת, ולא ניתן עליו צו לפי סעיף 34, רשאי בית משפט השלום, על-פי בקשת שוטר מוסמך או אדם התובע זכות בחפץ, לצוות שהחפץ יימכר במכרז פומבי או במחיר המקובל באותו יום; דמי המכר יוחזרו לאדם שמידיו נלקח החפץ, אולם אם תוך המועדים שנקבעו על פי סעיף 35 הוגש משפט נגד אדם על עבירה שעבר בחפץ שנתפס או לגביו, ינהגו בדמי המכר כפי שיורה בית המשפט.</w:t>
      </w:r>
    </w:p>
    <w:p w14:paraId="643FC32E"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10" w:name="Seif24"/>
      <w:bookmarkEnd w:id="10"/>
      <w:r w:rsidRPr="008A5D7A">
        <w:rPr>
          <w:rStyle w:val="big-number"/>
          <w:rFonts w:ascii="Time New Roman" w:hAnsi="Time New Roman" w:cs="David"/>
          <w:b/>
          <w:bCs/>
          <w:color w:val="008000"/>
          <w:sz w:val="32"/>
          <w:szCs w:val="32"/>
          <w:rtl/>
        </w:rPr>
        <w:t>ערר (תיקון מס' 10)  תשנ"ז-1997 (תיקון מס' 12) תשס"ה-2005</w:t>
      </w:r>
    </w:p>
    <w:p w14:paraId="7D2FAE59"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38</w:t>
      </w:r>
      <w:r w:rsidRPr="008A5D7A">
        <w:rPr>
          <w:rStyle w:val="default"/>
          <w:rFonts w:cs="David" w:hint="cs"/>
          <w:color w:val="000000"/>
          <w:sz w:val="32"/>
          <w:szCs w:val="32"/>
          <w:rtl/>
        </w:rPr>
        <w:t>א.  (א)  שוטר מוסמך, אדם שהחפץ נלקח ממנו או תובע זכות בחפץ רשאים לערור על החלטת בית המשפט לפי פרק זה, לפני בית המשפט המחוזי אשר ידון בערר בשופט אחד.</w:t>
      </w:r>
    </w:p>
    <w:p w14:paraId="29408917"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(ב)  על החלטת בית המשפט המחוזי לפי סעיף קטן (א) ניתן לערור לפני בית המשפט העליון שידון בערר בשופט אחד, אם ניתנה רשות לכך מאת שופט של בית המשפט העליון.</w:t>
      </w:r>
    </w:p>
    <w:p w14:paraId="2BD7FB78" w14:textId="77777777" w:rsidR="00026844" w:rsidRPr="008A5D7A" w:rsidRDefault="00026844" w:rsidP="00026844">
      <w:pPr>
        <w:pStyle w:val="p00"/>
        <w:bidi/>
        <w:spacing w:before="72" w:beforeAutospacing="0" w:after="0" w:afterAutospacing="0"/>
        <w:ind w:right="1134"/>
        <w:rPr>
          <w:rFonts w:cs="David"/>
          <w:color w:val="000000"/>
          <w:sz w:val="32"/>
          <w:szCs w:val="32"/>
          <w:rtl/>
        </w:rPr>
      </w:pPr>
      <w:r w:rsidRPr="008A5D7A">
        <w:rPr>
          <w:rFonts w:ascii="Time New Roman" w:hAnsi="Time New Roman" w:cs="David"/>
          <w:b/>
          <w:bCs/>
          <w:color w:val="008000"/>
          <w:sz w:val="32"/>
          <w:szCs w:val="32"/>
          <w:rtl/>
        </w:rPr>
        <w:t>(תיקון מס' 13) תש"ע-2010</w:t>
      </w:r>
    </w:p>
    <w:p w14:paraId="17D6E258"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(ג)   ערר או בקשת רשות לערור כאמור בסעיף זה, לפי העניין, יוגשו בתוך 30 ימים מיום שניתנה החלטת בית המשפט; ניתנה רשות לערור כאמור בסעיף קטן (ב), תוגש הודעת הערר בתוך 30 ימים מיום מתן הרשות לערור; ואולם בית המשפט רשאי להאריך את המועדים האמורים מטעמים שיירשמו.</w:t>
      </w:r>
    </w:p>
    <w:p w14:paraId="29B602D7"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11" w:name="Rov93"/>
      <w:bookmarkStart w:id="12" w:name="Seif25"/>
      <w:bookmarkEnd w:id="11"/>
      <w:bookmarkEnd w:id="12"/>
      <w:r w:rsidRPr="008A5D7A">
        <w:rPr>
          <w:rStyle w:val="big-number"/>
          <w:rFonts w:ascii="Time New Roman" w:hAnsi="Time New Roman" w:cs="David"/>
          <w:b/>
          <w:bCs/>
          <w:color w:val="008000"/>
          <w:sz w:val="32"/>
          <w:szCs w:val="32"/>
          <w:rtl/>
        </w:rPr>
        <w:t>צו חילוט (תיקון מס' 1)  תש"ל-1970</w:t>
      </w:r>
    </w:p>
    <w:p w14:paraId="4697C6C6"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39.  </w:t>
      </w:r>
      <w:r w:rsidRPr="008A5D7A">
        <w:rPr>
          <w:rStyle w:val="default"/>
          <w:rFonts w:cs="David" w:hint="cs"/>
          <w:color w:val="000000"/>
          <w:sz w:val="32"/>
          <w:szCs w:val="32"/>
          <w:rtl/>
        </w:rPr>
        <w:t>(א)  על אף האמור בכל דין, רשאי בית המשפט, בנוסף על כל עונש שיטיל, לצוות על חילוט החפץ שנתפס לפי סעיף 32, או שהגיע לידי המשטרה כאמור בסעיף 33, אם האדם שהורשע במעשה העבירה שנעשה בחפץ או לגביו הוא בעל החפץ; דין צו זה כדין עונש שהוטל על הנאשם.</w:t>
      </w:r>
    </w:p>
    <w:p w14:paraId="47B17D82" w14:textId="77777777" w:rsidR="00026844" w:rsidRPr="008A5D7A" w:rsidRDefault="00026844" w:rsidP="00026844">
      <w:pPr>
        <w:pStyle w:val="p00"/>
        <w:bidi/>
        <w:spacing w:before="72" w:beforeAutospacing="0" w:after="0" w:afterAutospacing="0"/>
        <w:ind w:right="1134"/>
        <w:rPr>
          <w:rFonts w:cs="David"/>
          <w:color w:val="000000"/>
          <w:sz w:val="32"/>
          <w:szCs w:val="32"/>
          <w:rtl/>
        </w:rPr>
      </w:pPr>
      <w:r w:rsidRPr="008A5D7A">
        <w:rPr>
          <w:rFonts w:ascii="Time New Roman" w:hAnsi="Time New Roman" w:cs="David"/>
          <w:b/>
          <w:bCs/>
          <w:color w:val="008000"/>
          <w:sz w:val="32"/>
          <w:szCs w:val="32"/>
          <w:rtl/>
        </w:rPr>
        <w:t>(תיקון מס' 1) תש"ל-1970</w:t>
      </w:r>
    </w:p>
    <w:p w14:paraId="7F28CD6C" w14:textId="77777777" w:rsidR="00026844" w:rsidRPr="008A5D7A" w:rsidRDefault="00026844" w:rsidP="00026844">
      <w:pPr>
        <w:pStyle w:val="p00"/>
        <w:bidi/>
        <w:spacing w:before="72" w:beforeAutospacing="0" w:after="0" w:afterAutospacing="0"/>
        <w:ind w:right="1134"/>
        <w:rPr>
          <w:rFonts w:cs="David"/>
          <w:color w:val="000000"/>
          <w:sz w:val="32"/>
          <w:szCs w:val="32"/>
          <w:rtl/>
        </w:rPr>
      </w:pPr>
      <w:r w:rsidRPr="008A5D7A">
        <w:rPr>
          <w:rFonts w:ascii="Time New Roman" w:hAnsi="Time New Roman" w:cs="David"/>
          <w:b/>
          <w:bCs/>
          <w:color w:val="008000"/>
          <w:sz w:val="32"/>
          <w:szCs w:val="32"/>
          <w:rtl/>
        </w:rPr>
        <w:t>(תיקון מס' 1) תש"ל-1970</w:t>
      </w:r>
    </w:p>
    <w:p w14:paraId="5B5DA956"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(ב)  ניתן חפץ כשכר בעד ביצוע עבירה או כאמצעי לביצועה ולא חל עליו אחד התנאים האחרים האמורים בסעיף 32, לא יחולט אלא אם החפץ ניתן מאת בעליו, או מאת המחזיק בו כדין, או על דעתו, כשכר בעד ביצוע העבירה שעליה הורשע הנידון, או כאמצעי לביצועה, או בעד ביצוע עבירה אחרת הקשורה בעבירה שבה הורשע הנידון, או כאמצעי לביצוע העבירה האחרת; ואין נפקא מינה אם ביצע הנידון את העבירה האחרת ואם לאו, ואף אם לא נתכוון לבצעה.</w:t>
      </w:r>
    </w:p>
    <w:p w14:paraId="333620E2"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(ג)   צו חילוט לפי סעיף זה יכול שיינתן בין בגזר הדין ובין על פי עתירה מטעם תובע.</w:t>
      </w:r>
    </w:p>
    <w:p w14:paraId="3E98535F"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13" w:name="Rov47"/>
      <w:bookmarkStart w:id="14" w:name="Seif26"/>
      <w:bookmarkEnd w:id="13"/>
      <w:bookmarkEnd w:id="14"/>
      <w:r w:rsidRPr="008A5D7A">
        <w:rPr>
          <w:rStyle w:val="big-number"/>
          <w:rFonts w:ascii="Time New Roman" w:hAnsi="Time New Roman" w:cs="David"/>
          <w:b/>
          <w:bCs/>
          <w:color w:val="008000"/>
          <w:sz w:val="32"/>
          <w:szCs w:val="32"/>
          <w:rtl/>
        </w:rPr>
        <w:lastRenderedPageBreak/>
        <w:t>טענת בעלות או זכות מצד אדם</w:t>
      </w:r>
    </w:p>
    <w:p w14:paraId="74C3321C"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40.  </w:t>
      </w:r>
      <w:r w:rsidRPr="008A5D7A">
        <w:rPr>
          <w:rStyle w:val="default"/>
          <w:rFonts w:cs="David" w:hint="cs"/>
          <w:color w:val="000000"/>
          <w:sz w:val="32"/>
          <w:szCs w:val="32"/>
          <w:rtl/>
        </w:rPr>
        <w:t>היה אדם שאיננו שותף לעבירה טוען לבעלות על החפץ שחולט או לזכות בו, רשאי הוא, תוך שנה מיום מתן צו החילוט או תוך מועד נוסף שנקבע באותו צו, לבקש מאת בית המשפט שציווה על החילוט לבטל את הצו, ורשאי בית המשפט לעשות כן ולצוות על מסירת החפץ למבקש, לבעלותו או לשם מימוש זכותו בלבד, הכל לפי הענין.</w:t>
      </w:r>
    </w:p>
    <w:p w14:paraId="7F664AC3"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15" w:name="Seif27"/>
      <w:bookmarkEnd w:id="15"/>
      <w:r w:rsidRPr="008A5D7A">
        <w:rPr>
          <w:rStyle w:val="big-number"/>
          <w:rFonts w:ascii="Time New Roman" w:hAnsi="Time New Roman" w:cs="David"/>
          <w:b/>
          <w:bCs/>
          <w:color w:val="008000"/>
          <w:sz w:val="32"/>
          <w:szCs w:val="32"/>
          <w:rtl/>
        </w:rPr>
        <w:t>תפוס שנמכר או אבד</w:t>
      </w:r>
    </w:p>
    <w:p w14:paraId="124F1EF1"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41.  </w:t>
      </w:r>
      <w:r w:rsidRPr="008A5D7A">
        <w:rPr>
          <w:rStyle w:val="default"/>
          <w:rFonts w:cs="David" w:hint="cs"/>
          <w:color w:val="000000"/>
          <w:sz w:val="32"/>
          <w:szCs w:val="32"/>
          <w:rtl/>
        </w:rPr>
        <w:t>נמכר החפץ שהוחלט למסרו כאמור בסעיף 40, יבואו דמי מכרו במקומו; אבד החפץ – רשאי בית המשפט, אם שוכנע שהיתה פשיעה או רשלנות בשמירתו, לחייב את אוצר המדינה בנזיקין בסכום שיקבע.</w:t>
      </w:r>
    </w:p>
    <w:p w14:paraId="0062C006" w14:textId="77777777" w:rsidR="00026844" w:rsidRPr="008A5D7A" w:rsidRDefault="00026844" w:rsidP="00026844">
      <w:pPr>
        <w:pStyle w:val="p00"/>
        <w:bidi/>
        <w:spacing w:before="72" w:beforeAutospacing="0" w:after="0" w:afterAutospacing="0"/>
        <w:ind w:right="1134"/>
        <w:rPr>
          <w:rFonts w:cs="David"/>
          <w:color w:val="000000"/>
          <w:sz w:val="32"/>
          <w:szCs w:val="32"/>
          <w:rtl/>
        </w:rPr>
      </w:pPr>
      <w:bookmarkStart w:id="16" w:name="Seif28"/>
      <w:bookmarkEnd w:id="16"/>
      <w:r w:rsidRPr="008A5D7A">
        <w:rPr>
          <w:rStyle w:val="big-number"/>
          <w:rFonts w:ascii="Time New Roman" w:hAnsi="Time New Roman" w:cs="David"/>
          <w:b/>
          <w:bCs/>
          <w:color w:val="008000"/>
          <w:sz w:val="32"/>
          <w:szCs w:val="32"/>
          <w:rtl/>
        </w:rPr>
        <w:t>חפץ ללא בעל</w:t>
      </w:r>
    </w:p>
    <w:p w14:paraId="676D49B2"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42.  </w:t>
      </w:r>
      <w:r w:rsidRPr="008A5D7A">
        <w:rPr>
          <w:rStyle w:val="default"/>
          <w:rFonts w:cs="David" w:hint="cs"/>
          <w:color w:val="000000"/>
          <w:sz w:val="32"/>
          <w:szCs w:val="32"/>
          <w:rtl/>
        </w:rPr>
        <w:t>(א)  חפץ או דמי מכרו, שעל המשטרה להחזירו לאדם לפי חוק זה, והאדם נדרש בכתב לבוא למקום שנקבע ולקבלו, ולא יעשה כן תוך ששה חדשים מיום שנמסרה לו הדרישה, או שתוך ששה חדשים מן היום שבו חייבת המשטרה להחזירו לא נודע לה מקום הימצאו על אף שפעלה בשקידה סבירה לגילויו – רואים אותו כנכס ללא בעלים והוא יחולט לאוצר המדינה.</w:t>
      </w:r>
    </w:p>
    <w:p w14:paraId="66B10F40"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(ב)  לענין סעיף זה משלוח דרישה בדואר רשום, לפי המען שמסר האדם במשטרה, ישמש ראיה לכאורה שהדרישה נמסרה לו תוך 48 שעות מעת משלוחה.</w:t>
      </w:r>
    </w:p>
    <w:p w14:paraId="31A2ED75" w14:textId="77777777" w:rsidR="00026844" w:rsidRPr="008A5D7A" w:rsidRDefault="00026844">
      <w:pPr>
        <w:rPr>
          <w:rFonts w:cs="David"/>
          <w:sz w:val="32"/>
          <w:szCs w:val="32"/>
          <w:rtl/>
        </w:rPr>
      </w:pPr>
    </w:p>
    <w:p w14:paraId="527C67DC" w14:textId="77777777" w:rsidR="00187811" w:rsidRPr="00187811" w:rsidRDefault="00187811" w:rsidP="00187811">
      <w:pPr>
        <w:pStyle w:val="ListParagraph"/>
        <w:numPr>
          <w:ilvl w:val="0"/>
          <w:numId w:val="4"/>
        </w:numPr>
        <w:spacing w:before="120" w:line="360" w:lineRule="auto"/>
        <w:ind w:left="226"/>
        <w:rPr>
          <w:rFonts w:cs="David"/>
          <w:b/>
          <w:bCs/>
          <w:sz w:val="32"/>
          <w:szCs w:val="32"/>
          <w:rtl/>
        </w:rPr>
      </w:pPr>
      <w:r w:rsidRPr="00187811">
        <w:rPr>
          <w:rFonts w:cs="David" w:hint="cs"/>
          <w:b/>
          <w:bCs/>
          <w:sz w:val="32"/>
          <w:szCs w:val="32"/>
          <w:rtl/>
        </w:rPr>
        <w:t xml:space="preserve">כלומר שלוש התכליות העיקריות שבבסיס העילות לתפיסת חפץ בשלבי החקירה הן: </w:t>
      </w:r>
    </w:p>
    <w:p w14:paraId="09A95245" w14:textId="77777777" w:rsidR="00187811" w:rsidRPr="008A5D7A" w:rsidRDefault="00187811" w:rsidP="00187811">
      <w:pPr>
        <w:pStyle w:val="ListParagraph"/>
        <w:numPr>
          <w:ilvl w:val="0"/>
          <w:numId w:val="3"/>
        </w:numPr>
        <w:spacing w:before="120" w:line="360" w:lineRule="auto"/>
        <w:rPr>
          <w:rFonts w:cs="David"/>
          <w:sz w:val="32"/>
          <w:szCs w:val="32"/>
        </w:rPr>
      </w:pPr>
      <w:r w:rsidRPr="008A5D7A">
        <w:rPr>
          <w:rFonts w:cs="David" w:hint="cs"/>
          <w:sz w:val="32"/>
          <w:szCs w:val="32"/>
          <w:rtl/>
        </w:rPr>
        <w:t>תכלית מניעתית.</w:t>
      </w:r>
    </w:p>
    <w:p w14:paraId="3FC5D165" w14:textId="77777777" w:rsidR="00187811" w:rsidRPr="008A5D7A" w:rsidRDefault="00187811" w:rsidP="00187811">
      <w:pPr>
        <w:pStyle w:val="ListParagraph"/>
        <w:numPr>
          <w:ilvl w:val="0"/>
          <w:numId w:val="3"/>
        </w:numPr>
        <w:spacing w:before="120" w:line="360" w:lineRule="auto"/>
        <w:rPr>
          <w:rFonts w:cs="David"/>
          <w:sz w:val="32"/>
          <w:szCs w:val="32"/>
        </w:rPr>
      </w:pPr>
      <w:r w:rsidRPr="008A5D7A">
        <w:rPr>
          <w:rFonts w:cs="David" w:hint="cs"/>
          <w:sz w:val="32"/>
          <w:szCs w:val="32"/>
          <w:rtl/>
        </w:rPr>
        <w:t>תכלית ראייתית.</w:t>
      </w:r>
    </w:p>
    <w:p w14:paraId="22FEEF9A" w14:textId="77777777" w:rsidR="00187811" w:rsidRPr="008A5D7A" w:rsidRDefault="00187811" w:rsidP="00187811">
      <w:pPr>
        <w:pStyle w:val="ListParagraph"/>
        <w:numPr>
          <w:ilvl w:val="0"/>
          <w:numId w:val="3"/>
        </w:numPr>
        <w:spacing w:before="120" w:line="360" w:lineRule="auto"/>
        <w:rPr>
          <w:rFonts w:cs="David"/>
          <w:sz w:val="32"/>
          <w:szCs w:val="32"/>
        </w:rPr>
      </w:pPr>
      <w:r w:rsidRPr="008A5D7A">
        <w:rPr>
          <w:rFonts w:cs="David" w:hint="cs"/>
          <w:sz w:val="32"/>
          <w:szCs w:val="32"/>
          <w:rtl/>
        </w:rPr>
        <w:t xml:space="preserve">תכלית של חילוט, לרבות שניתן כשכר בעד ביצוע עבירה. </w:t>
      </w:r>
    </w:p>
    <w:p w14:paraId="293AAD9B" w14:textId="77777777" w:rsidR="00187811" w:rsidRPr="00187811" w:rsidRDefault="00187811" w:rsidP="00187811">
      <w:pPr>
        <w:spacing w:before="120" w:line="360" w:lineRule="auto"/>
        <w:ind w:left="360"/>
        <w:rPr>
          <w:rFonts w:cs="David"/>
          <w:b/>
          <w:bCs/>
          <w:sz w:val="32"/>
          <w:szCs w:val="32"/>
          <w:rtl/>
        </w:rPr>
      </w:pPr>
      <w:r w:rsidRPr="00187811">
        <w:rPr>
          <w:rFonts w:cs="David" w:hint="cs"/>
          <w:b/>
          <w:bCs/>
          <w:sz w:val="32"/>
          <w:szCs w:val="32"/>
          <w:rtl/>
        </w:rPr>
        <w:t>הרף הראייתי הנדרש לתפיסה הוא יסוד סביר להניח כי נעברה עבירה וביהמ"ש לא נדרש לקביעות עובדתיות סופיות.</w:t>
      </w:r>
    </w:p>
    <w:p w14:paraId="4B22D1CC" w14:textId="77777777" w:rsidR="00187811" w:rsidRDefault="00187811">
      <w:pPr>
        <w:rPr>
          <w:rFonts w:cs="David"/>
          <w:b/>
          <w:bCs/>
          <w:sz w:val="32"/>
          <w:szCs w:val="32"/>
          <w:u w:val="single"/>
          <w:rtl/>
        </w:rPr>
      </w:pPr>
    </w:p>
    <w:p w14:paraId="11D76BAF" w14:textId="77777777" w:rsidR="00187811" w:rsidRDefault="00187811">
      <w:pPr>
        <w:rPr>
          <w:rFonts w:cs="David"/>
          <w:b/>
          <w:bCs/>
          <w:sz w:val="32"/>
          <w:szCs w:val="32"/>
          <w:u w:val="single"/>
          <w:rtl/>
        </w:rPr>
      </w:pPr>
    </w:p>
    <w:p w14:paraId="104AD39F" w14:textId="77777777" w:rsidR="00026844" w:rsidRPr="008A5D7A" w:rsidRDefault="00026844">
      <w:pPr>
        <w:rPr>
          <w:rFonts w:cs="David"/>
          <w:b/>
          <w:bCs/>
          <w:sz w:val="32"/>
          <w:szCs w:val="32"/>
          <w:u w:val="single"/>
          <w:rtl/>
        </w:rPr>
      </w:pPr>
      <w:r w:rsidRPr="008A5D7A">
        <w:rPr>
          <w:rFonts w:cs="David" w:hint="cs"/>
          <w:b/>
          <w:bCs/>
          <w:sz w:val="32"/>
          <w:szCs w:val="32"/>
          <w:u w:val="single"/>
          <w:rtl/>
        </w:rPr>
        <w:t>חוק איסור הלבנת הון</w:t>
      </w:r>
    </w:p>
    <w:p w14:paraId="21A53356" w14:textId="77777777" w:rsidR="00026844" w:rsidRPr="008A5D7A" w:rsidRDefault="00026844" w:rsidP="00A96E33">
      <w:pPr>
        <w:pStyle w:val="medium2-header"/>
        <w:bidi/>
        <w:spacing w:before="72" w:beforeAutospacing="0" w:after="240" w:afterAutospacing="0"/>
        <w:ind w:right="1134"/>
        <w:jc w:val="center"/>
        <w:rPr>
          <w:rFonts w:cs="David"/>
          <w:color w:val="000000"/>
          <w:sz w:val="32"/>
          <w:szCs w:val="32"/>
          <w:u w:val="single"/>
        </w:rPr>
      </w:pPr>
      <w:r w:rsidRPr="008A5D7A">
        <w:rPr>
          <w:rFonts w:cs="David" w:hint="cs"/>
          <w:color w:val="000000"/>
          <w:sz w:val="32"/>
          <w:szCs w:val="32"/>
          <w:u w:val="single"/>
          <w:rtl/>
        </w:rPr>
        <w:t>פרק ו': הוראות חילוט</w:t>
      </w:r>
    </w:p>
    <w:p w14:paraId="59AF2309" w14:textId="77777777" w:rsidR="004D1847" w:rsidRPr="008A5D7A" w:rsidRDefault="0032278D" w:rsidP="008D6F88">
      <w:pPr>
        <w:pStyle w:val="p00"/>
        <w:bidi/>
        <w:spacing w:before="72" w:beforeAutospacing="0" w:after="0" w:afterAutospacing="0" w:line="360" w:lineRule="auto"/>
        <w:rPr>
          <w:rStyle w:val="big-number"/>
          <w:rFonts w:ascii="Time New Roman" w:hAnsi="Time New Roman" w:cs="David"/>
          <w:sz w:val="32"/>
          <w:szCs w:val="32"/>
          <w:rtl/>
        </w:rPr>
      </w:pPr>
      <w:r w:rsidRPr="008A5D7A">
        <w:rPr>
          <w:rStyle w:val="big-number"/>
          <w:rFonts w:ascii="Time New Roman" w:hAnsi="Time New Roman" w:cs="David" w:hint="cs"/>
          <w:sz w:val="32"/>
          <w:szCs w:val="32"/>
          <w:rtl/>
        </w:rPr>
        <w:lastRenderedPageBreak/>
        <w:t xml:space="preserve">מכוח חוק זה יש שני מסלולי תפיסה וחילוט: </w:t>
      </w:r>
    </w:p>
    <w:p w14:paraId="2EE00456" w14:textId="77777777" w:rsidR="0032278D" w:rsidRPr="008A5D7A" w:rsidRDefault="0032278D" w:rsidP="008D6F88">
      <w:pPr>
        <w:pStyle w:val="p00"/>
        <w:bidi/>
        <w:spacing w:before="72" w:beforeAutospacing="0" w:after="0" w:afterAutospacing="0" w:line="360" w:lineRule="auto"/>
        <w:rPr>
          <w:rStyle w:val="big-number"/>
          <w:rFonts w:ascii="Time New Roman" w:hAnsi="Time New Roman" w:cs="David"/>
          <w:sz w:val="32"/>
          <w:szCs w:val="32"/>
          <w:rtl/>
        </w:rPr>
      </w:pPr>
      <w:r w:rsidRPr="008A5D7A">
        <w:rPr>
          <w:rStyle w:val="big-number"/>
          <w:rFonts w:ascii="Time New Roman" w:hAnsi="Time New Roman" w:cs="David" w:hint="cs"/>
          <w:sz w:val="32"/>
          <w:szCs w:val="32"/>
          <w:rtl/>
        </w:rPr>
        <w:t>(1) רכוש שאינו קשור לעבירה</w:t>
      </w:r>
      <w:r w:rsidR="004D1847" w:rsidRPr="008A5D7A">
        <w:rPr>
          <w:rStyle w:val="big-number"/>
          <w:rFonts w:ascii="Time New Roman" w:hAnsi="Time New Roman" w:cs="David" w:hint="cs"/>
          <w:sz w:val="32"/>
          <w:szCs w:val="32"/>
          <w:rtl/>
        </w:rPr>
        <w:t>, בשווי הרכוש הקשור לעביר</w:t>
      </w:r>
      <w:r w:rsidR="008D6F88" w:rsidRPr="008A5D7A">
        <w:rPr>
          <w:rStyle w:val="big-number"/>
          <w:rFonts w:ascii="Time New Roman" w:hAnsi="Time New Roman" w:cs="David" w:hint="cs"/>
          <w:sz w:val="32"/>
          <w:szCs w:val="32"/>
          <w:rtl/>
        </w:rPr>
        <w:t>ה:</w:t>
      </w:r>
    </w:p>
    <w:p w14:paraId="63131894" w14:textId="77777777" w:rsidR="002F38DE" w:rsidRPr="008A5D7A" w:rsidRDefault="008D6F88" w:rsidP="008D6F88">
      <w:pPr>
        <w:pStyle w:val="p00"/>
        <w:bidi/>
        <w:spacing w:before="72" w:beforeAutospacing="0" w:after="0" w:afterAutospacing="0" w:line="360" w:lineRule="auto"/>
        <w:rPr>
          <w:rStyle w:val="big-number"/>
          <w:rFonts w:ascii="Time New Roman" w:hAnsi="Time New Roman" w:cs="David"/>
          <w:sz w:val="32"/>
          <w:szCs w:val="32"/>
          <w:rtl/>
        </w:rPr>
      </w:pPr>
      <w:r w:rsidRPr="008A5D7A">
        <w:rPr>
          <w:rStyle w:val="big-number"/>
          <w:rFonts w:ascii="Time New Roman" w:hAnsi="Time New Roman" w:cs="David" w:hint="cs"/>
          <w:sz w:val="32"/>
          <w:szCs w:val="32"/>
          <w:rtl/>
        </w:rPr>
        <w:t>מדובר ב</w:t>
      </w:r>
      <w:r w:rsidR="002F38DE" w:rsidRPr="008A5D7A">
        <w:rPr>
          <w:rStyle w:val="big-number"/>
          <w:rFonts w:ascii="Time New Roman" w:hAnsi="Time New Roman" w:cs="David" w:hint="cs"/>
          <w:sz w:val="32"/>
          <w:szCs w:val="32"/>
          <w:rtl/>
        </w:rPr>
        <w:t xml:space="preserve">סעיף 23 מפנה למסלול שבפקודת הסמים, לפיו על הבקשה לחילוט זמני </w:t>
      </w:r>
      <w:r w:rsidR="004D1847" w:rsidRPr="008A5D7A">
        <w:rPr>
          <w:rStyle w:val="big-number"/>
          <w:rFonts w:ascii="Time New Roman" w:hAnsi="Time New Roman" w:cs="David" w:hint="cs"/>
          <w:sz w:val="32"/>
          <w:szCs w:val="32"/>
          <w:rtl/>
        </w:rPr>
        <w:t xml:space="preserve">להיות מוגשת </w:t>
      </w:r>
      <w:r w:rsidR="004D1847" w:rsidRPr="008A5D7A">
        <w:rPr>
          <w:rFonts w:ascii="Arial" w:hAnsi="Arial" w:cs="David"/>
          <w:sz w:val="32"/>
          <w:szCs w:val="32"/>
          <w:shd w:val="clear" w:color="auto" w:fill="FAFAFA"/>
          <w:rtl/>
        </w:rPr>
        <w:t>חתומה</w:t>
      </w:r>
      <w:r w:rsidR="004D1847" w:rsidRPr="008A5D7A">
        <w:rPr>
          <w:rFonts w:ascii="Arial" w:hAnsi="Arial" w:cs="David"/>
          <w:sz w:val="32"/>
          <w:szCs w:val="32"/>
          <w:shd w:val="clear" w:color="auto" w:fill="FAFAFA"/>
        </w:rPr>
        <w:t> </w:t>
      </w:r>
      <w:r w:rsidR="004D1847" w:rsidRPr="008A5D7A">
        <w:rPr>
          <w:rStyle w:val="Strong"/>
          <w:rFonts w:ascii="Arial" w:hAnsi="Arial" w:cs="David"/>
          <w:sz w:val="32"/>
          <w:szCs w:val="32"/>
          <w:bdr w:val="none" w:sz="0" w:space="0" w:color="auto" w:frame="1"/>
          <w:shd w:val="clear" w:color="auto" w:fill="FAFAFA"/>
          <w:rtl/>
        </w:rPr>
        <w:t>בידי פרקליט מחוז ונתמכת בתצהיר לבית המשפט המחוזי</w:t>
      </w:r>
      <w:r w:rsidR="004D1847" w:rsidRPr="008A5D7A">
        <w:rPr>
          <w:rFonts w:ascii="Arial" w:hAnsi="Arial" w:cs="David"/>
          <w:sz w:val="32"/>
          <w:szCs w:val="32"/>
          <w:shd w:val="clear" w:color="auto" w:fill="FAFAFA"/>
        </w:rPr>
        <w:t xml:space="preserve">. </w:t>
      </w:r>
      <w:r w:rsidR="004D1847" w:rsidRPr="008A5D7A">
        <w:rPr>
          <w:rFonts w:ascii="Arial" w:hAnsi="Arial" w:cs="David"/>
          <w:sz w:val="32"/>
          <w:szCs w:val="32"/>
          <w:shd w:val="clear" w:color="auto" w:fill="FAFAFA"/>
          <w:rtl/>
        </w:rPr>
        <w:t>תוקפו של צו החילוט הזמני יפקע אם לא הוגש כתב אישום</w:t>
      </w:r>
      <w:r w:rsidR="004D1847" w:rsidRPr="008A5D7A">
        <w:rPr>
          <w:rFonts w:ascii="Arial" w:hAnsi="Arial" w:cs="David"/>
          <w:sz w:val="32"/>
          <w:szCs w:val="32"/>
          <w:shd w:val="clear" w:color="auto" w:fill="FAFAFA"/>
        </w:rPr>
        <w:t> </w:t>
      </w:r>
      <w:r w:rsidR="004D1847" w:rsidRPr="008A5D7A">
        <w:rPr>
          <w:rStyle w:val="Strong"/>
          <w:rFonts w:ascii="Arial" w:hAnsi="Arial" w:cs="David"/>
          <w:sz w:val="32"/>
          <w:szCs w:val="32"/>
          <w:bdr w:val="none" w:sz="0" w:space="0" w:color="auto" w:frame="1"/>
          <w:shd w:val="clear" w:color="auto" w:fill="FAFAFA"/>
          <w:rtl/>
        </w:rPr>
        <w:t>תוך תשעים ימים</w:t>
      </w:r>
      <w:r w:rsidR="004D1847" w:rsidRPr="008A5D7A">
        <w:rPr>
          <w:rFonts w:ascii="Arial" w:hAnsi="Arial" w:cs="David"/>
          <w:sz w:val="32"/>
          <w:szCs w:val="32"/>
          <w:shd w:val="clear" w:color="auto" w:fill="FAFAFA"/>
        </w:rPr>
        <w:t> </w:t>
      </w:r>
      <w:r w:rsidR="004D1847" w:rsidRPr="008A5D7A">
        <w:rPr>
          <w:rFonts w:ascii="Arial" w:hAnsi="Arial" w:cs="David"/>
          <w:sz w:val="32"/>
          <w:szCs w:val="32"/>
          <w:shd w:val="clear" w:color="auto" w:fill="FAFAFA"/>
          <w:rtl/>
        </w:rPr>
        <w:t>מיום שניתן</w:t>
      </w:r>
      <w:r w:rsidR="004D1847" w:rsidRPr="008A5D7A">
        <w:rPr>
          <w:rFonts w:ascii="Arial" w:hAnsi="Arial" w:cs="David"/>
          <w:sz w:val="32"/>
          <w:szCs w:val="32"/>
          <w:shd w:val="clear" w:color="auto" w:fill="FAFAFA"/>
        </w:rPr>
        <w:t>.</w:t>
      </w:r>
    </w:p>
    <w:p w14:paraId="6EA2CE96" w14:textId="77777777" w:rsidR="008D6F88" w:rsidRPr="008A5D7A" w:rsidRDefault="00C367A5" w:rsidP="009715C7">
      <w:pPr>
        <w:pStyle w:val="p00"/>
        <w:bidi/>
        <w:spacing w:before="72" w:beforeAutospacing="0" w:after="0" w:afterAutospacing="0" w:line="360" w:lineRule="auto"/>
        <w:jc w:val="both"/>
        <w:rPr>
          <w:rStyle w:val="big-number"/>
          <w:rFonts w:ascii="Time New Roman" w:hAnsi="Time New Roman" w:cs="David"/>
          <w:b/>
          <w:bCs/>
          <w:color w:val="008000"/>
          <w:sz w:val="32"/>
          <w:szCs w:val="32"/>
          <w:rtl/>
        </w:rPr>
      </w:pPr>
      <w:r w:rsidRPr="008A5D7A">
        <w:rPr>
          <w:rFonts w:ascii="Arial" w:hAnsi="Arial" w:cs="Arial"/>
          <w:color w:val="181B29"/>
          <w:sz w:val="32"/>
          <w:szCs w:val="32"/>
          <w:shd w:val="clear" w:color="auto" w:fill="FAFAFA"/>
          <w:rtl/>
        </w:rPr>
        <w:br/>
      </w:r>
      <w:r w:rsidRPr="008A5D7A">
        <w:rPr>
          <w:rFonts w:ascii="Arial" w:hAnsi="Arial" w:cs="David" w:hint="cs"/>
          <w:color w:val="181B29"/>
          <w:sz w:val="32"/>
          <w:szCs w:val="32"/>
          <w:shd w:val="clear" w:color="auto" w:fill="FAFAFA"/>
          <w:rtl/>
        </w:rPr>
        <w:t xml:space="preserve">(2) </w:t>
      </w:r>
      <w:r w:rsidR="008D6F88" w:rsidRPr="008A5D7A">
        <w:rPr>
          <w:rFonts w:ascii="Arial" w:hAnsi="Arial" w:cs="David"/>
          <w:color w:val="181B29"/>
          <w:sz w:val="32"/>
          <w:szCs w:val="32"/>
          <w:shd w:val="clear" w:color="auto" w:fill="FAFAFA"/>
          <w:rtl/>
        </w:rPr>
        <w:t xml:space="preserve">סעיף 26(א) לחוק איסור הלבנת הון המפנה למסלול </w:t>
      </w:r>
      <w:r w:rsidR="008D2FD3" w:rsidRPr="008A5D7A">
        <w:rPr>
          <w:rFonts w:ascii="Arial" w:hAnsi="Arial" w:cs="David" w:hint="cs"/>
          <w:color w:val="181B29"/>
          <w:sz w:val="32"/>
          <w:szCs w:val="32"/>
          <w:shd w:val="clear" w:color="auto" w:fill="FAFAFA"/>
          <w:rtl/>
        </w:rPr>
        <w:t>שבפסד"פ</w:t>
      </w:r>
      <w:r w:rsidR="008D6F88" w:rsidRPr="008A5D7A">
        <w:rPr>
          <w:rFonts w:ascii="Arial" w:hAnsi="Arial" w:cs="David"/>
          <w:color w:val="181B29"/>
          <w:sz w:val="32"/>
          <w:szCs w:val="32"/>
          <w:shd w:val="clear" w:color="auto" w:fill="FAFAFA"/>
          <w:rtl/>
        </w:rPr>
        <w:t xml:space="preserve"> (מעצר וחיפוש): "</w:t>
      </w:r>
      <w:r w:rsidR="008D6F88" w:rsidRPr="008A5D7A">
        <w:rPr>
          <w:rFonts w:ascii="Arial" w:hAnsi="Arial" w:cs="David"/>
          <w:b/>
          <w:bCs/>
          <w:color w:val="181B29"/>
          <w:sz w:val="32"/>
          <w:szCs w:val="32"/>
          <w:shd w:val="clear" w:color="auto" w:fill="FAFAFA"/>
          <w:rtl/>
        </w:rPr>
        <w:t>סמכויות החיפוש והתפיסה לפי פקודת מעצר וחיפוש, יחולו, בשינויים המחויבים, גם לעניין רכוש שביחס אליו ניתן לתת צו חילוט לפי חוק זה</w:t>
      </w:r>
      <w:r w:rsidR="008D6F88" w:rsidRPr="008A5D7A">
        <w:rPr>
          <w:rFonts w:ascii="Arial" w:hAnsi="Arial" w:cs="David"/>
          <w:color w:val="181B29"/>
          <w:sz w:val="32"/>
          <w:szCs w:val="32"/>
          <w:shd w:val="clear" w:color="auto" w:fill="FAFAFA"/>
          <w:rtl/>
        </w:rPr>
        <w:t xml:space="preserve">". </w:t>
      </w:r>
      <w:r w:rsidR="008D2FD3" w:rsidRPr="008A5D7A">
        <w:rPr>
          <w:rFonts w:ascii="Arial" w:hAnsi="Arial" w:cs="David" w:hint="cs"/>
          <w:color w:val="181B29"/>
          <w:sz w:val="32"/>
          <w:szCs w:val="32"/>
          <w:shd w:val="clear" w:color="auto" w:fill="FAFAFA"/>
          <w:rtl/>
        </w:rPr>
        <w:t>כאן,</w:t>
      </w:r>
      <w:r w:rsidR="008D6F88" w:rsidRPr="008A5D7A">
        <w:rPr>
          <w:rFonts w:ascii="Arial" w:hAnsi="Arial" w:cs="David"/>
          <w:color w:val="181B29"/>
          <w:sz w:val="32"/>
          <w:szCs w:val="32"/>
          <w:shd w:val="clear" w:color="auto" w:fill="FAFAFA"/>
          <w:rtl/>
        </w:rPr>
        <w:t xml:space="preserve"> הבקשה לחילוט זמני יכולה להיות מוגשת על ידי</w:t>
      </w:r>
      <w:r w:rsidR="008D6F88" w:rsidRPr="008A5D7A">
        <w:rPr>
          <w:rFonts w:ascii="Arial" w:hAnsi="Arial" w:cs="David"/>
          <w:color w:val="181B29"/>
          <w:sz w:val="32"/>
          <w:szCs w:val="32"/>
          <w:shd w:val="clear" w:color="auto" w:fill="FAFAFA"/>
        </w:rPr>
        <w:t> </w:t>
      </w:r>
      <w:r w:rsidR="008D6F88" w:rsidRPr="008A5D7A">
        <w:rPr>
          <w:rStyle w:val="Strong"/>
          <w:rFonts w:ascii="Arial" w:hAnsi="Arial" w:cs="David"/>
          <w:color w:val="181B29"/>
          <w:sz w:val="32"/>
          <w:szCs w:val="32"/>
          <w:bdr w:val="none" w:sz="0" w:space="0" w:color="auto" w:frame="1"/>
          <w:shd w:val="clear" w:color="auto" w:fill="FAFAFA"/>
          <w:rtl/>
        </w:rPr>
        <w:t>הרשות החוקרת לבית משפט השלום</w:t>
      </w:r>
      <w:r w:rsidRPr="008A5D7A">
        <w:rPr>
          <w:rStyle w:val="Strong"/>
          <w:rFonts w:ascii="Arial" w:hAnsi="Arial" w:cs="David" w:hint="cs"/>
          <w:color w:val="181B29"/>
          <w:sz w:val="32"/>
          <w:szCs w:val="32"/>
          <w:bdr w:val="none" w:sz="0" w:space="0" w:color="auto" w:frame="1"/>
          <w:shd w:val="clear" w:color="auto" w:fill="FAFAFA"/>
          <w:rtl/>
        </w:rPr>
        <w:t xml:space="preserve">, </w:t>
      </w:r>
      <w:r w:rsidR="008D6F88" w:rsidRPr="008A5D7A">
        <w:rPr>
          <w:rFonts w:ascii="Arial" w:hAnsi="Arial" w:cs="David"/>
          <w:color w:val="181B29"/>
          <w:sz w:val="32"/>
          <w:szCs w:val="32"/>
          <w:shd w:val="clear" w:color="auto" w:fill="FAFAFA"/>
          <w:rtl/>
        </w:rPr>
        <w:t>ותוקפו של צו החילוט הזמני לא יפקע בחלוף תשעים ימים גם אם לא יוגש כתב אישום, אלא רק בחלוף</w:t>
      </w:r>
      <w:r w:rsidR="008D6F88" w:rsidRPr="008A5D7A">
        <w:rPr>
          <w:rFonts w:ascii="Arial" w:hAnsi="Arial" w:cs="David"/>
          <w:color w:val="181B29"/>
          <w:sz w:val="32"/>
          <w:szCs w:val="32"/>
          <w:shd w:val="clear" w:color="auto" w:fill="FAFAFA"/>
        </w:rPr>
        <w:t> </w:t>
      </w:r>
      <w:r w:rsidR="008D6F88" w:rsidRPr="008A5D7A">
        <w:rPr>
          <w:rStyle w:val="Strong"/>
          <w:rFonts w:ascii="Arial" w:hAnsi="Arial" w:cs="David"/>
          <w:color w:val="181B29"/>
          <w:sz w:val="32"/>
          <w:szCs w:val="32"/>
          <w:bdr w:val="none" w:sz="0" w:space="0" w:color="auto" w:frame="1"/>
          <w:shd w:val="clear" w:color="auto" w:fill="FAFAFA"/>
          <w:rtl/>
        </w:rPr>
        <w:t>שישה חודשים</w:t>
      </w:r>
      <w:r w:rsidR="008D6F88" w:rsidRPr="008A5D7A">
        <w:rPr>
          <w:rFonts w:ascii="Arial" w:hAnsi="Arial" w:cs="David"/>
          <w:color w:val="181B29"/>
          <w:sz w:val="32"/>
          <w:szCs w:val="32"/>
          <w:shd w:val="clear" w:color="auto" w:fill="FAFAFA"/>
          <w:rtl/>
        </w:rPr>
        <w:t xml:space="preserve"> </w:t>
      </w:r>
      <w:r w:rsidR="0081254D" w:rsidRPr="008A5D7A">
        <w:rPr>
          <w:rFonts w:ascii="Arial" w:hAnsi="Arial" w:cs="David" w:hint="cs"/>
          <w:color w:val="181B29"/>
          <w:sz w:val="32"/>
          <w:szCs w:val="32"/>
          <w:shd w:val="clear" w:color="auto" w:fill="FAFAFA"/>
          <w:rtl/>
        </w:rPr>
        <w:t>ובימ"ש</w:t>
      </w:r>
      <w:r w:rsidR="008D6F88" w:rsidRPr="008A5D7A">
        <w:rPr>
          <w:rFonts w:ascii="Arial" w:hAnsi="Arial" w:cs="David"/>
          <w:color w:val="181B29"/>
          <w:sz w:val="32"/>
          <w:szCs w:val="32"/>
          <w:shd w:val="clear" w:color="auto" w:fill="FAFAFA"/>
          <w:rtl/>
        </w:rPr>
        <w:t xml:space="preserve"> השלום מוסמך להאריך את התקופה</w:t>
      </w:r>
      <w:r w:rsidR="008D6F88" w:rsidRPr="008A5D7A">
        <w:rPr>
          <w:rFonts w:ascii="Arial" w:hAnsi="Arial" w:cs="David"/>
          <w:color w:val="181B29"/>
          <w:sz w:val="32"/>
          <w:szCs w:val="32"/>
          <w:shd w:val="clear" w:color="auto" w:fill="FAFAFA"/>
        </w:rPr>
        <w:t>.</w:t>
      </w:r>
    </w:p>
    <w:p w14:paraId="76DC551D" w14:textId="77777777" w:rsidR="008D6F88" w:rsidRPr="008A5D7A" w:rsidRDefault="008D6F88" w:rsidP="008D6F88">
      <w:pPr>
        <w:pStyle w:val="p00"/>
        <w:bidi/>
        <w:spacing w:before="72" w:beforeAutospacing="0" w:after="0" w:afterAutospacing="0"/>
        <w:ind w:right="1134"/>
        <w:rPr>
          <w:rStyle w:val="big-number"/>
          <w:rFonts w:ascii="Time New Roman" w:hAnsi="Time New Roman" w:cs="David"/>
          <w:b/>
          <w:bCs/>
          <w:color w:val="008000"/>
          <w:sz w:val="32"/>
          <w:szCs w:val="32"/>
          <w:rtl/>
        </w:rPr>
      </w:pPr>
    </w:p>
    <w:p w14:paraId="7DBA26DA" w14:textId="77777777" w:rsidR="00026844" w:rsidRPr="008A5D7A" w:rsidRDefault="00026844" w:rsidP="008D6F88">
      <w:pPr>
        <w:pStyle w:val="p00"/>
        <w:bidi/>
        <w:spacing w:before="72" w:beforeAutospacing="0" w:after="0" w:afterAutospacing="0"/>
        <w:ind w:right="1134"/>
        <w:rPr>
          <w:rFonts w:cs="David"/>
          <w:color w:val="000000"/>
          <w:sz w:val="32"/>
          <w:szCs w:val="32"/>
          <w:rtl/>
        </w:rPr>
      </w:pPr>
      <w:r w:rsidRPr="008A5D7A">
        <w:rPr>
          <w:rStyle w:val="big-number"/>
          <w:rFonts w:ascii="Time New Roman" w:hAnsi="Time New Roman" w:cs="David"/>
          <w:b/>
          <w:bCs/>
          <w:color w:val="008000"/>
          <w:sz w:val="32"/>
          <w:szCs w:val="32"/>
          <w:rtl/>
        </w:rPr>
        <w:t>חילוט רכוש בהליך פלילי</w:t>
      </w:r>
    </w:p>
    <w:p w14:paraId="697179FF"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21.   </w:t>
      </w:r>
      <w:r w:rsidRPr="008A5D7A">
        <w:rPr>
          <w:rStyle w:val="default"/>
          <w:rFonts w:cs="David" w:hint="cs"/>
          <w:color w:val="000000"/>
          <w:sz w:val="32"/>
          <w:szCs w:val="32"/>
          <w:rtl/>
        </w:rPr>
        <w:t>(א)  </w:t>
      </w:r>
      <w:r w:rsidRPr="008A5D7A">
        <w:rPr>
          <w:rStyle w:val="default"/>
          <w:rFonts w:cs="David" w:hint="cs"/>
          <w:b/>
          <w:bCs/>
          <w:color w:val="000000"/>
          <w:sz w:val="32"/>
          <w:szCs w:val="32"/>
          <w:rtl/>
        </w:rPr>
        <w:t>הורשע אדם</w:t>
      </w:r>
      <w:r w:rsidRPr="008A5D7A">
        <w:rPr>
          <w:rStyle w:val="default"/>
          <w:rFonts w:cs="David" w:hint="cs"/>
          <w:color w:val="000000"/>
          <w:sz w:val="32"/>
          <w:szCs w:val="32"/>
          <w:rtl/>
        </w:rPr>
        <w:t xml:space="preserve"> בעבירה לפי סעיפים 3 או 4, </w:t>
      </w:r>
      <w:r w:rsidRPr="008A5D7A">
        <w:rPr>
          <w:rStyle w:val="default"/>
          <w:rFonts w:cs="David" w:hint="cs"/>
          <w:b/>
          <w:bCs/>
          <w:color w:val="000000"/>
          <w:sz w:val="32"/>
          <w:szCs w:val="32"/>
          <w:rtl/>
        </w:rPr>
        <w:t>יצווה בית המשפט, זולת אם סבר שלא לעשות כן מנימוקים מיוחדים שיפרט, כי נוסף על כל עונש יחולט רכוש מתוך רכושו של הנידון בשווי של רכוש שהוא</w:t>
      </w:r>
      <w:r w:rsidRPr="008A5D7A">
        <w:rPr>
          <w:rStyle w:val="default"/>
          <w:rFonts w:cs="David" w:hint="cs"/>
          <w:color w:val="000000"/>
          <w:sz w:val="32"/>
          <w:szCs w:val="32"/>
          <w:rtl/>
        </w:rPr>
        <w:t xml:space="preserve"> –</w:t>
      </w:r>
    </w:p>
    <w:p w14:paraId="41620EC4" w14:textId="77777777" w:rsidR="00026844" w:rsidRPr="008A5D7A" w:rsidRDefault="00026844" w:rsidP="00026844">
      <w:pPr>
        <w:pStyle w:val="p22"/>
        <w:bidi/>
        <w:spacing w:before="72" w:beforeAutospacing="0" w:after="0" w:afterAutospacing="0"/>
        <w:ind w:left="1021" w:right="1134"/>
        <w:jc w:val="both"/>
        <w:rPr>
          <w:rFonts w:cs="David"/>
          <w:color w:val="000000"/>
          <w:sz w:val="32"/>
          <w:szCs w:val="32"/>
          <w:rtl/>
        </w:rPr>
      </w:pPr>
      <w:r w:rsidRPr="008A5D7A">
        <w:rPr>
          <w:rStyle w:val="default"/>
          <w:rFonts w:cs="David" w:hint="cs"/>
          <w:color w:val="000000"/>
          <w:sz w:val="32"/>
          <w:szCs w:val="32"/>
          <w:rtl/>
        </w:rPr>
        <w:t>(1)   </w:t>
      </w:r>
      <w:r w:rsidRPr="008A5D7A">
        <w:rPr>
          <w:rStyle w:val="default"/>
          <w:rFonts w:cs="David" w:hint="cs"/>
          <w:b/>
          <w:bCs/>
          <w:color w:val="000000"/>
          <w:sz w:val="32"/>
          <w:szCs w:val="32"/>
          <w:rtl/>
        </w:rPr>
        <w:t>רכוש שנעברה בו העבירה, וכן רכוש ששימש לביצוע העבירה, שאיפשר את ביצועה או שיועד לכך;</w:t>
      </w:r>
    </w:p>
    <w:p w14:paraId="69DD5AF4" w14:textId="77777777" w:rsidR="00026844" w:rsidRPr="008A5D7A" w:rsidRDefault="00026844" w:rsidP="00026844">
      <w:pPr>
        <w:pStyle w:val="p22"/>
        <w:bidi/>
        <w:spacing w:before="72" w:beforeAutospacing="0" w:after="0" w:afterAutospacing="0"/>
        <w:ind w:left="1021" w:right="1134"/>
        <w:jc w:val="both"/>
        <w:rPr>
          <w:rFonts w:cs="David"/>
          <w:color w:val="000000"/>
          <w:sz w:val="32"/>
          <w:szCs w:val="32"/>
          <w:rtl/>
        </w:rPr>
      </w:pPr>
      <w:r w:rsidRPr="008A5D7A">
        <w:rPr>
          <w:rStyle w:val="default"/>
          <w:rFonts w:cs="David" w:hint="cs"/>
          <w:color w:val="000000"/>
          <w:sz w:val="32"/>
          <w:szCs w:val="32"/>
          <w:rtl/>
        </w:rPr>
        <w:t>(2)   </w:t>
      </w:r>
      <w:r w:rsidRPr="008A5D7A">
        <w:rPr>
          <w:rStyle w:val="default"/>
          <w:rFonts w:cs="David" w:hint="cs"/>
          <w:b/>
          <w:bCs/>
          <w:color w:val="000000"/>
          <w:sz w:val="32"/>
          <w:szCs w:val="32"/>
          <w:rtl/>
        </w:rPr>
        <w:t>רכוש שהושג, במישרין או בעקיפין, כשכר העבירה או כתוצאה מביצוע העבירה, או שיועד לכך.</w:t>
      </w:r>
    </w:p>
    <w:p w14:paraId="6BF7361A"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 xml:space="preserve">(ב)  לענין סעיף זה, </w:t>
      </w:r>
      <w:r w:rsidRPr="008A5D7A">
        <w:rPr>
          <w:rStyle w:val="default"/>
          <w:rFonts w:cs="David" w:hint="cs"/>
          <w:b/>
          <w:bCs/>
          <w:color w:val="000000"/>
          <w:sz w:val="32"/>
          <w:szCs w:val="32"/>
          <w:rtl/>
        </w:rPr>
        <w:t>"רכושו של הנידון" – כל רכוש שנמצא בחזקתו, בשליטתו או בחשבונו.</w:t>
      </w:r>
    </w:p>
    <w:p w14:paraId="05E38021" w14:textId="77777777" w:rsidR="00026844" w:rsidRPr="008A5D7A" w:rsidRDefault="00026844" w:rsidP="00026844">
      <w:pPr>
        <w:pStyle w:val="p00"/>
        <w:bidi/>
        <w:spacing w:before="72" w:beforeAutospacing="0" w:after="0" w:afterAutospacing="0"/>
        <w:ind w:right="1134"/>
        <w:jc w:val="both"/>
        <w:rPr>
          <w:rFonts w:cs="David"/>
          <w:b/>
          <w:bCs/>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(ג)   </w:t>
      </w:r>
      <w:r w:rsidRPr="008A5D7A">
        <w:rPr>
          <w:rStyle w:val="default"/>
          <w:rFonts w:cs="David" w:hint="cs"/>
          <w:b/>
          <w:bCs/>
          <w:color w:val="000000"/>
          <w:sz w:val="32"/>
          <w:szCs w:val="32"/>
          <w:rtl/>
        </w:rPr>
        <w:t>לא נמצא רכוש של הנידון למימוש צו החילוט במלואו, רשאי בית המשפט לצוות על מימושו של הצו מתוך רכוש של אדם אחר, שהנידון מימן את רכישתו או שהעבירו לאותו אדם בלא תמורה; לא יצווה בית המשפט כאמור לגבי רכוש שמימן או שהעביר הנידון לאותו אדם לפני ביצוע העבירה שבשלה הורשע, ושלגביה ניתן צו החילוט.</w:t>
      </w:r>
    </w:p>
    <w:p w14:paraId="03B72F0F"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lastRenderedPageBreak/>
        <w:t>           </w:t>
      </w:r>
      <w:r w:rsidRPr="008A5D7A">
        <w:rPr>
          <w:rStyle w:val="default"/>
          <w:rFonts w:cs="David" w:hint="cs"/>
          <w:color w:val="000000"/>
          <w:sz w:val="32"/>
          <w:szCs w:val="32"/>
          <w:rtl/>
        </w:rPr>
        <w:t>(ד)  </w:t>
      </w:r>
      <w:r w:rsidRPr="008A5D7A">
        <w:rPr>
          <w:rStyle w:val="default"/>
          <w:rFonts w:cs="David" w:hint="cs"/>
          <w:b/>
          <w:bCs/>
          <w:color w:val="000000"/>
          <w:sz w:val="32"/>
          <w:szCs w:val="32"/>
          <w:rtl/>
        </w:rPr>
        <w:t>לא יצווה בית המשפט על חילוט רכוש כאמור בסעיף זה אלא לאחר שנתן לנידון, לבעל הרכוש, למי שהרכוש נמצא בחזקתו או בשליטתו ולמי שטוען לזכות ברכוש, אם הם ידועים, הזדמנות להשמיע את טענותיהם.</w:t>
      </w:r>
    </w:p>
    <w:p w14:paraId="2595075A"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(ה)  </w:t>
      </w:r>
      <w:r w:rsidRPr="008A5D7A">
        <w:rPr>
          <w:rStyle w:val="default"/>
          <w:rFonts w:cs="David" w:hint="cs"/>
          <w:b/>
          <w:bCs/>
          <w:color w:val="000000"/>
          <w:sz w:val="32"/>
          <w:szCs w:val="32"/>
          <w:rtl/>
        </w:rPr>
        <w:t>טען אדם שאינו הנידון לזכות ברכוש כאמור בסעיף קטן (ד), וראה בית המשפט, מטעמים שיירשמו, כי בירור הטענות עלול להקשות על המשך הדיון בהליך הפלילי, רשאי הוא לקבוע שהדיון בחילוט יהיה בהליך אזרחי; קבע בית המשפט כאמור, יחולו בהליך האזרחי הוראות סעיף קטן (ג).</w:t>
      </w:r>
    </w:p>
    <w:p w14:paraId="6147C450"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(ו)   </w:t>
      </w:r>
      <w:r w:rsidRPr="008A5D7A">
        <w:rPr>
          <w:rStyle w:val="default"/>
          <w:rFonts w:cs="David" w:hint="cs"/>
          <w:b/>
          <w:bCs/>
          <w:color w:val="000000"/>
          <w:sz w:val="32"/>
          <w:szCs w:val="32"/>
          <w:rtl/>
        </w:rPr>
        <w:t>בקשת תובע לחלט רכוש לפי סעיף זה, ופירוט הרכוש שאת חילוטו מבקשים, או שווי הרכוש שלגביו מבקשים צו חילוט, יצוינו בכתב האישום; נתגלה רכוש נוסף שאת חילוטו מבקשים, רשאי תובע לתקן את כתב האישום בכל שלב של ההליכים עד למתן גזר הדין.</w:t>
      </w:r>
    </w:p>
    <w:p w14:paraId="194308E2" w14:textId="77777777" w:rsidR="00026844" w:rsidRPr="008A5D7A" w:rsidRDefault="00026844" w:rsidP="00026844">
      <w:pPr>
        <w:pStyle w:val="p00"/>
        <w:bidi/>
        <w:spacing w:before="72" w:beforeAutospacing="0" w:after="0" w:afterAutospacing="0"/>
        <w:ind w:right="1134"/>
        <w:rPr>
          <w:rFonts w:cs="David"/>
          <w:color w:val="000000"/>
          <w:sz w:val="32"/>
          <w:szCs w:val="32"/>
          <w:rtl/>
        </w:rPr>
      </w:pPr>
      <w:r w:rsidRPr="008A5D7A">
        <w:rPr>
          <w:rStyle w:val="big-number"/>
          <w:rFonts w:ascii="Time New Roman" w:hAnsi="Time New Roman" w:cs="David"/>
          <w:b/>
          <w:bCs/>
          <w:color w:val="008000"/>
          <w:sz w:val="32"/>
          <w:szCs w:val="32"/>
          <w:rtl/>
        </w:rPr>
        <w:t>חילוט רכוש בהליך אזרחי</w:t>
      </w:r>
    </w:p>
    <w:p w14:paraId="3BB87515"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22.   </w:t>
      </w:r>
      <w:r w:rsidRPr="008A5D7A">
        <w:rPr>
          <w:rStyle w:val="default"/>
          <w:rFonts w:cs="David" w:hint="cs"/>
          <w:color w:val="000000"/>
          <w:sz w:val="32"/>
          <w:szCs w:val="32"/>
          <w:rtl/>
        </w:rPr>
        <w:t>(א)  בית משפט מחוזי, על פי בקשה של פרקליט מחוז, רשאי לצוות על חילוטו של רכוש בהליך אזרחי (להלן – חילוט אזרחי) אם נוכח שנתמלאו שני אלה:</w:t>
      </w:r>
    </w:p>
    <w:p w14:paraId="2E707C33" w14:textId="77777777" w:rsidR="00026844" w:rsidRPr="008A5D7A" w:rsidRDefault="00026844" w:rsidP="00026844">
      <w:pPr>
        <w:pStyle w:val="p22"/>
        <w:bidi/>
        <w:spacing w:before="72" w:beforeAutospacing="0" w:after="0" w:afterAutospacing="0"/>
        <w:ind w:left="1021" w:right="1134"/>
        <w:jc w:val="both"/>
        <w:rPr>
          <w:rFonts w:cs="David"/>
          <w:color w:val="000000"/>
          <w:sz w:val="32"/>
          <w:szCs w:val="32"/>
          <w:rtl/>
        </w:rPr>
      </w:pPr>
      <w:r w:rsidRPr="008A5D7A">
        <w:rPr>
          <w:rStyle w:val="default"/>
          <w:rFonts w:cs="David" w:hint="cs"/>
          <w:color w:val="000000"/>
          <w:sz w:val="32"/>
          <w:szCs w:val="32"/>
          <w:rtl/>
        </w:rPr>
        <w:t>(1)   הרכוש הושג, במישרין או בעקיפין, בעבירה לפי סעיפים 3 או 4 או כשכר לאותה עבירה, או שנעברה בו עבירה לפי אותם סעיפים;</w:t>
      </w:r>
    </w:p>
    <w:p w14:paraId="2C5974A4" w14:textId="77777777" w:rsidR="00026844" w:rsidRPr="008A5D7A" w:rsidRDefault="00026844" w:rsidP="00026844">
      <w:pPr>
        <w:pStyle w:val="p22"/>
        <w:bidi/>
        <w:spacing w:before="72" w:beforeAutospacing="0" w:after="0" w:afterAutospacing="0"/>
        <w:ind w:left="1021" w:right="1134"/>
        <w:jc w:val="both"/>
        <w:rPr>
          <w:rFonts w:cs="David"/>
          <w:color w:val="000000"/>
          <w:sz w:val="32"/>
          <w:szCs w:val="32"/>
          <w:rtl/>
        </w:rPr>
      </w:pPr>
      <w:r w:rsidRPr="008A5D7A">
        <w:rPr>
          <w:rStyle w:val="default"/>
          <w:rFonts w:cs="David" w:hint="cs"/>
          <w:color w:val="000000"/>
          <w:sz w:val="32"/>
          <w:szCs w:val="32"/>
          <w:rtl/>
        </w:rPr>
        <w:t>(2)   האדם החשוד בביצוע עבירה כאמור אינו נמצא בישראל דרך קבע או שלא ניתן לאתרו, ועל כן לא ניתן להגיש כתב אישום נגדו, או שהרכוש כאמור בפסקה (1) התגלה לאחר ההרשעה.</w:t>
      </w:r>
    </w:p>
    <w:p w14:paraId="7EDC6F52"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(ב)  המשיב בבקשה יהיה מי שטוען לזכות ברכוש, אם הוא ידוע; קבע בית המשפט כאמור בסעיף 21(ה), יהיה גם הנידון משיב בבקשה לפי סעיף זה.</w:t>
      </w:r>
    </w:p>
    <w:p w14:paraId="69A7A262"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(ג)   על החלטת בית המשפט לפי סעיף זה ניתן לערער בדרך שמערערים על החלטה בענין אזרחי.</w:t>
      </w:r>
    </w:p>
    <w:p w14:paraId="5F0D84B5"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Fonts w:cs="David" w:hint="cs"/>
          <w:color w:val="000000"/>
          <w:sz w:val="32"/>
          <w:szCs w:val="32"/>
          <w:rtl/>
        </w:rPr>
        <w:t>           </w:t>
      </w:r>
      <w:r w:rsidRPr="008A5D7A">
        <w:rPr>
          <w:rStyle w:val="default"/>
          <w:rFonts w:cs="David" w:hint="cs"/>
          <w:color w:val="000000"/>
          <w:sz w:val="32"/>
          <w:szCs w:val="32"/>
          <w:rtl/>
        </w:rPr>
        <w:t>(ד)  אין לחלט רכוש לפי סעיף זה, שאינו רכושו של החשוד אלא אם הוכח כי –</w:t>
      </w:r>
    </w:p>
    <w:p w14:paraId="24A8FE4E" w14:textId="77777777" w:rsidR="00026844" w:rsidRPr="008A5D7A" w:rsidRDefault="00026844" w:rsidP="00026844">
      <w:pPr>
        <w:pStyle w:val="p22"/>
        <w:bidi/>
        <w:spacing w:before="72" w:beforeAutospacing="0" w:after="0" w:afterAutospacing="0"/>
        <w:ind w:left="1021" w:right="1134"/>
        <w:jc w:val="both"/>
        <w:rPr>
          <w:rFonts w:cs="David"/>
          <w:color w:val="000000"/>
          <w:sz w:val="32"/>
          <w:szCs w:val="32"/>
          <w:rtl/>
        </w:rPr>
      </w:pPr>
      <w:r w:rsidRPr="008A5D7A">
        <w:rPr>
          <w:rStyle w:val="default"/>
          <w:rFonts w:cs="David" w:hint="cs"/>
          <w:color w:val="000000"/>
          <w:sz w:val="32"/>
          <w:szCs w:val="32"/>
          <w:rtl/>
        </w:rPr>
        <w:t>(1)   בעל הזכות ברכוש ידע שהרכוש שימש בעבירה או הסכים לכך; או,</w:t>
      </w:r>
    </w:p>
    <w:p w14:paraId="0230B50E" w14:textId="77777777" w:rsidR="00026844" w:rsidRPr="008A5D7A" w:rsidRDefault="00026844" w:rsidP="00026844">
      <w:pPr>
        <w:pStyle w:val="p22"/>
        <w:bidi/>
        <w:spacing w:before="72" w:beforeAutospacing="0" w:after="0" w:afterAutospacing="0"/>
        <w:ind w:left="1021" w:right="1134"/>
        <w:jc w:val="both"/>
        <w:rPr>
          <w:rFonts w:cs="David"/>
          <w:color w:val="000000"/>
          <w:sz w:val="32"/>
          <w:szCs w:val="32"/>
          <w:rtl/>
        </w:rPr>
      </w:pPr>
      <w:r w:rsidRPr="008A5D7A">
        <w:rPr>
          <w:rStyle w:val="default"/>
          <w:rFonts w:cs="David" w:hint="cs"/>
          <w:color w:val="000000"/>
          <w:sz w:val="32"/>
          <w:szCs w:val="32"/>
          <w:rtl/>
        </w:rPr>
        <w:t>(2)   בעל הזכות ברכוש לא רכש את זכותו בתמורה ובתום לב.</w:t>
      </w:r>
    </w:p>
    <w:p w14:paraId="219E8ED6" w14:textId="77777777" w:rsidR="00026844" w:rsidRPr="008A5D7A" w:rsidRDefault="00026844" w:rsidP="00026844">
      <w:pPr>
        <w:pStyle w:val="p00"/>
        <w:bidi/>
        <w:spacing w:before="72" w:beforeAutospacing="0" w:after="0" w:afterAutospacing="0"/>
        <w:ind w:right="1134"/>
        <w:rPr>
          <w:rFonts w:cs="David"/>
          <w:color w:val="000000"/>
          <w:sz w:val="32"/>
          <w:szCs w:val="32"/>
          <w:rtl/>
        </w:rPr>
      </w:pPr>
      <w:r w:rsidRPr="008A5D7A">
        <w:rPr>
          <w:rStyle w:val="big-number"/>
          <w:rFonts w:ascii="Time New Roman" w:hAnsi="Time New Roman" w:cs="David"/>
          <w:b/>
          <w:bCs/>
          <w:color w:val="008000"/>
          <w:sz w:val="32"/>
          <w:szCs w:val="32"/>
          <w:rtl/>
        </w:rPr>
        <w:t>החלת דינים וייעוד קנסות</w:t>
      </w:r>
    </w:p>
    <w:p w14:paraId="5ADA7CC9" w14:textId="77777777" w:rsidR="00026844" w:rsidRPr="008A5D7A" w:rsidRDefault="00026844" w:rsidP="00026844">
      <w:pPr>
        <w:pStyle w:val="p00"/>
        <w:bidi/>
        <w:spacing w:before="72" w:beforeAutospacing="0" w:after="0" w:afterAutospacing="0"/>
        <w:ind w:right="1134"/>
        <w:jc w:val="both"/>
        <w:rPr>
          <w:rFonts w:cs="David"/>
          <w:color w:val="000000"/>
          <w:sz w:val="32"/>
          <w:szCs w:val="32"/>
          <w:rtl/>
        </w:rPr>
      </w:pPr>
      <w:r w:rsidRPr="008A5D7A">
        <w:rPr>
          <w:rStyle w:val="big-number"/>
          <w:rFonts w:cs="David" w:hint="cs"/>
          <w:color w:val="000000"/>
          <w:sz w:val="32"/>
          <w:szCs w:val="32"/>
          <w:rtl/>
        </w:rPr>
        <w:t>23.   </w:t>
      </w:r>
      <w:r w:rsidRPr="008A5D7A">
        <w:rPr>
          <w:rStyle w:val="default"/>
          <w:rFonts w:cs="David" w:hint="cs"/>
          <w:color w:val="000000"/>
          <w:sz w:val="32"/>
          <w:szCs w:val="32"/>
          <w:rtl/>
        </w:rPr>
        <w:t>על חילוט רכוש ועל רכוש שחולט לפי חוק זה, וכן על קנסות שהוטלו על פיו יחולו, בשינויים המחויבים, הוראות סעיפים 36ג עד 36י לפקודת הסמים המסוכנים; לענין סעיף זה, "קנסות" – לרבות עיצום כספי שהוטל לפי חוק זה</w:t>
      </w:r>
    </w:p>
    <w:p w14:paraId="0AF22216" w14:textId="77777777" w:rsidR="00DA6E3A" w:rsidRPr="008A5D7A" w:rsidRDefault="00DA6E3A">
      <w:pPr>
        <w:rPr>
          <w:rFonts w:cs="David"/>
          <w:sz w:val="32"/>
          <w:szCs w:val="32"/>
          <w:rtl/>
        </w:rPr>
      </w:pPr>
    </w:p>
    <w:p w14:paraId="06124B29" w14:textId="77777777" w:rsidR="00DA6E3A" w:rsidRPr="008A5D7A" w:rsidRDefault="008A5D7A" w:rsidP="008A5D7A">
      <w:pPr>
        <w:rPr>
          <w:rFonts w:cs="David"/>
          <w:b/>
          <w:bCs/>
          <w:sz w:val="32"/>
          <w:szCs w:val="32"/>
          <w:rtl/>
        </w:rPr>
      </w:pPr>
      <w:r w:rsidRPr="008A5D7A">
        <w:rPr>
          <w:rFonts w:cs="David" w:hint="cs"/>
          <w:b/>
          <w:bCs/>
          <w:sz w:val="32"/>
          <w:szCs w:val="32"/>
          <w:rtl/>
        </w:rPr>
        <w:t xml:space="preserve">דרך חילוט נוספת </w:t>
      </w:r>
      <w:r w:rsidRPr="008A5D7A">
        <w:rPr>
          <w:rFonts w:cs="David"/>
          <w:b/>
          <w:bCs/>
          <w:sz w:val="32"/>
          <w:szCs w:val="32"/>
          <w:rtl/>
        </w:rPr>
        <w:t>–</w:t>
      </w:r>
      <w:r w:rsidRPr="008A5D7A">
        <w:rPr>
          <w:rFonts w:cs="David" w:hint="cs"/>
          <w:b/>
          <w:bCs/>
          <w:sz w:val="32"/>
          <w:szCs w:val="32"/>
          <w:rtl/>
        </w:rPr>
        <w:t xml:space="preserve"> נאשם שנמלט </w:t>
      </w:r>
      <w:r w:rsidRPr="008A5D7A">
        <w:rPr>
          <w:rFonts w:cs="David"/>
          <w:b/>
          <w:bCs/>
          <w:sz w:val="32"/>
          <w:szCs w:val="32"/>
          <w:rtl/>
        </w:rPr>
        <w:t>–</w:t>
      </w:r>
      <w:r w:rsidRPr="008A5D7A">
        <w:rPr>
          <w:rFonts w:cs="David" w:hint="cs"/>
          <w:b/>
          <w:bCs/>
          <w:sz w:val="32"/>
          <w:szCs w:val="32"/>
          <w:rtl/>
        </w:rPr>
        <w:t xml:space="preserve"> לפי </w:t>
      </w:r>
      <w:r w:rsidR="00DA6E3A" w:rsidRPr="008A5D7A">
        <w:rPr>
          <w:rFonts w:cs="David" w:hint="cs"/>
          <w:b/>
          <w:bCs/>
          <w:sz w:val="32"/>
          <w:szCs w:val="32"/>
          <w:rtl/>
        </w:rPr>
        <w:t>סעיף 104 לחוק סדר הדין הפלילי:</w:t>
      </w:r>
    </w:p>
    <w:p w14:paraId="06DA1AF8" w14:textId="77777777" w:rsidR="00DA6E3A" w:rsidRPr="008A5D7A" w:rsidRDefault="00DA6E3A" w:rsidP="00DA6E3A">
      <w:pPr>
        <w:pStyle w:val="p00"/>
        <w:bidi/>
        <w:spacing w:before="72" w:beforeAutospacing="0" w:after="0" w:afterAutospacing="0"/>
        <w:ind w:right="1134"/>
        <w:rPr>
          <w:color w:val="000000"/>
          <w:sz w:val="32"/>
          <w:szCs w:val="32"/>
        </w:rPr>
      </w:pPr>
      <w:r w:rsidRPr="008A5D7A">
        <w:rPr>
          <w:rStyle w:val="big-number"/>
          <w:rFonts w:ascii="Time New Roman" w:hAnsi="Time New Roman"/>
          <w:b/>
          <w:bCs/>
          <w:color w:val="008000"/>
          <w:sz w:val="32"/>
          <w:szCs w:val="32"/>
          <w:rtl/>
        </w:rPr>
        <w:t>תפיסת נכסי נאשם שנמלט</w:t>
      </w:r>
    </w:p>
    <w:p w14:paraId="784962F9" w14:textId="77777777" w:rsidR="00DA6E3A" w:rsidRPr="008A5D7A" w:rsidRDefault="00DA6E3A" w:rsidP="00DA6E3A">
      <w:pPr>
        <w:pStyle w:val="p00"/>
        <w:bidi/>
        <w:spacing w:before="72" w:beforeAutospacing="0" w:after="0" w:afterAutospacing="0"/>
        <w:ind w:right="1134"/>
        <w:jc w:val="both"/>
        <w:rPr>
          <w:color w:val="000000"/>
          <w:sz w:val="32"/>
          <w:szCs w:val="32"/>
          <w:rtl/>
        </w:rPr>
      </w:pPr>
      <w:r w:rsidRPr="008A5D7A">
        <w:rPr>
          <w:rStyle w:val="big-number"/>
          <w:rFonts w:cs="Miriam" w:hint="cs"/>
          <w:color w:val="000000"/>
          <w:sz w:val="32"/>
          <w:szCs w:val="32"/>
          <w:rtl/>
        </w:rPr>
        <w:t>104. </w:t>
      </w:r>
      <w:r w:rsidRPr="008A5D7A">
        <w:rPr>
          <w:rStyle w:val="default"/>
          <w:rFonts w:cs="FrankRuehl" w:hint="cs"/>
          <w:color w:val="000000"/>
          <w:sz w:val="32"/>
          <w:szCs w:val="32"/>
          <w:rtl/>
        </w:rPr>
        <w:t>(א)  נאשם שנמלט או מסתתר ואין אפשרות למצאו, רשאי בית המשפט, לבקשת פרקליט מפרקליטות המדינה, ואם הוא סבור שהדבר עשוי להביא להתייצבותו של הנאשם, לצוות על תפיסת כל נכס מנכסיו של הנאשם, מיטלטלין או מקרקעין, על רישום עיקול עליהם בפנקסי המקרקעין או על מינוי כונס נכסים עליהם, ולהורות מה ייעשה בנכס ובפירותיו כל עוד הצו בתקפו.</w:t>
      </w:r>
    </w:p>
    <w:p w14:paraId="3266E437" w14:textId="77777777" w:rsidR="00DA6E3A" w:rsidRPr="008A5D7A" w:rsidRDefault="00DA6E3A" w:rsidP="00DA6E3A">
      <w:pPr>
        <w:pStyle w:val="p00"/>
        <w:bidi/>
        <w:spacing w:before="72" w:beforeAutospacing="0" w:after="0" w:afterAutospacing="0"/>
        <w:ind w:right="1134"/>
        <w:jc w:val="both"/>
        <w:rPr>
          <w:color w:val="000000"/>
          <w:sz w:val="32"/>
          <w:szCs w:val="32"/>
          <w:rtl/>
        </w:rPr>
      </w:pPr>
      <w:r w:rsidRPr="008A5D7A">
        <w:rPr>
          <w:rFonts w:cs="FrankRuehl" w:hint="cs"/>
          <w:color w:val="000000"/>
          <w:sz w:val="32"/>
          <w:szCs w:val="32"/>
          <w:rtl/>
        </w:rPr>
        <w:t>          </w:t>
      </w:r>
      <w:r w:rsidRPr="008A5D7A">
        <w:rPr>
          <w:rStyle w:val="default"/>
          <w:rFonts w:cs="FrankRuehl" w:hint="cs"/>
          <w:color w:val="000000"/>
          <w:sz w:val="32"/>
          <w:szCs w:val="32"/>
          <w:rtl/>
        </w:rPr>
        <w:t>(ב)  צו לפי סעיף זה לא יפגע בזכותו של נושה לרדת לאותם נכסים.</w:t>
      </w:r>
    </w:p>
    <w:p w14:paraId="304DF244" w14:textId="77777777" w:rsidR="00DA6E3A" w:rsidRPr="008A5D7A" w:rsidRDefault="00DA6E3A" w:rsidP="00DA6E3A">
      <w:pPr>
        <w:pStyle w:val="p00"/>
        <w:bidi/>
        <w:spacing w:before="72" w:beforeAutospacing="0" w:after="0" w:afterAutospacing="0"/>
        <w:ind w:right="1134"/>
        <w:jc w:val="both"/>
        <w:rPr>
          <w:color w:val="000000"/>
          <w:sz w:val="32"/>
          <w:szCs w:val="32"/>
          <w:rtl/>
        </w:rPr>
      </w:pPr>
      <w:r w:rsidRPr="008A5D7A">
        <w:rPr>
          <w:rFonts w:cs="FrankRuehl" w:hint="cs"/>
          <w:color w:val="000000"/>
          <w:sz w:val="32"/>
          <w:szCs w:val="32"/>
          <w:rtl/>
        </w:rPr>
        <w:t>          </w:t>
      </w:r>
      <w:r w:rsidRPr="008A5D7A">
        <w:rPr>
          <w:rStyle w:val="default"/>
          <w:rFonts w:cs="FrankRuehl" w:hint="cs"/>
          <w:color w:val="000000"/>
          <w:sz w:val="32"/>
          <w:szCs w:val="32"/>
          <w:rtl/>
        </w:rPr>
        <w:t>(ג)   ניתן צו לפי סעיף זה, רשאי כל מי שתלוי בנאשם ותפיסת הנכס עשויה לפגוע בפרנסתו, לבקש מבית המשפט לבטל את הצו או לשנותו.</w:t>
      </w:r>
    </w:p>
    <w:p w14:paraId="3953DDD7" w14:textId="77777777" w:rsidR="00DA6E3A" w:rsidRDefault="00DA6E3A">
      <w:pPr>
        <w:rPr>
          <w:rFonts w:cs="David"/>
          <w:sz w:val="32"/>
          <w:szCs w:val="32"/>
          <w:rtl/>
        </w:rPr>
      </w:pPr>
    </w:p>
    <w:p w14:paraId="6172515A" w14:textId="77777777" w:rsidR="00187811" w:rsidRPr="008A5D7A" w:rsidRDefault="00187811" w:rsidP="00187811">
      <w:pPr>
        <w:spacing w:before="120" w:line="360" w:lineRule="auto"/>
        <w:ind w:left="360"/>
        <w:rPr>
          <w:rFonts w:cs="David"/>
          <w:sz w:val="32"/>
          <w:szCs w:val="32"/>
          <w:u w:val="single"/>
        </w:rPr>
      </w:pPr>
      <w:r w:rsidRPr="008A5D7A">
        <w:rPr>
          <w:rFonts w:cs="David" w:hint="cs"/>
          <w:sz w:val="32"/>
          <w:szCs w:val="32"/>
          <w:u w:val="single"/>
          <w:rtl/>
        </w:rPr>
        <w:t>פסיקה:</w:t>
      </w:r>
    </w:p>
    <w:p w14:paraId="79A7D823" w14:textId="77777777" w:rsidR="00187811" w:rsidRPr="008A5D7A" w:rsidRDefault="00187811" w:rsidP="00187811">
      <w:pPr>
        <w:pStyle w:val="ListParagraph"/>
        <w:numPr>
          <w:ilvl w:val="0"/>
          <w:numId w:val="2"/>
        </w:numPr>
        <w:spacing w:before="120" w:line="360" w:lineRule="auto"/>
        <w:contextualSpacing w:val="0"/>
        <w:rPr>
          <w:rFonts w:cs="David"/>
          <w:b/>
          <w:bCs/>
          <w:sz w:val="32"/>
          <w:szCs w:val="32"/>
          <w:u w:val="single"/>
        </w:rPr>
      </w:pPr>
      <w:r w:rsidRPr="008A5D7A">
        <w:rPr>
          <w:rFonts w:cs="David" w:hint="cs"/>
          <w:b/>
          <w:bCs/>
          <w:sz w:val="32"/>
          <w:szCs w:val="32"/>
          <w:u w:val="single"/>
          <w:rtl/>
        </w:rPr>
        <w:t>רע"פ 4526/18 אלוביץ נ' מד"י (5.8.18):</w:t>
      </w:r>
      <w:r w:rsidRPr="008A5D7A">
        <w:rPr>
          <w:rFonts w:cs="David" w:hint="cs"/>
          <w:b/>
          <w:bCs/>
          <w:sz w:val="32"/>
          <w:szCs w:val="32"/>
          <w:rtl/>
        </w:rPr>
        <w:t xml:space="preserve"> </w:t>
      </w:r>
    </w:p>
    <w:p w14:paraId="371BACE1" w14:textId="77777777" w:rsidR="00187811" w:rsidRPr="008A5D7A" w:rsidRDefault="00187811" w:rsidP="00187811">
      <w:pPr>
        <w:pStyle w:val="ListParagraph"/>
        <w:spacing w:before="120" w:line="360" w:lineRule="auto"/>
        <w:contextualSpacing w:val="0"/>
        <w:rPr>
          <w:rFonts w:cs="David"/>
          <w:b/>
          <w:bCs/>
          <w:sz w:val="32"/>
          <w:szCs w:val="32"/>
          <w:u w:val="single"/>
          <w:rtl/>
        </w:rPr>
      </w:pPr>
      <w:r w:rsidRPr="008A5D7A">
        <w:rPr>
          <w:rFonts w:cs="David" w:hint="cs"/>
          <w:b/>
          <w:bCs/>
          <w:sz w:val="32"/>
          <w:szCs w:val="32"/>
          <w:rtl/>
        </w:rPr>
        <w:t>תפיסת "רכוש בשווי" לפי 32 לפסד"פ, לפני הגשת כ"א. חובה לציין בצו חיפוש את הרכוש בשווי שמעוניינים לתפוס אלא אם מדובר הרכוש אקראי:</w:t>
      </w:r>
    </w:p>
    <w:p w14:paraId="3BC3F873" w14:textId="77777777" w:rsidR="00187811" w:rsidRPr="008A5D7A" w:rsidRDefault="00187811" w:rsidP="00187811">
      <w:pPr>
        <w:pStyle w:val="ListParagraph"/>
        <w:numPr>
          <w:ilvl w:val="0"/>
          <w:numId w:val="1"/>
        </w:numPr>
        <w:spacing w:before="120" w:after="0" w:line="360" w:lineRule="auto"/>
        <w:contextualSpacing w:val="0"/>
        <w:jc w:val="both"/>
        <w:rPr>
          <w:rFonts w:cs="David"/>
          <w:sz w:val="32"/>
          <w:szCs w:val="32"/>
        </w:rPr>
      </w:pPr>
      <w:r w:rsidRPr="008A5D7A">
        <w:rPr>
          <w:rFonts w:cs="David" w:hint="cs"/>
          <w:sz w:val="32"/>
          <w:szCs w:val="32"/>
          <w:rtl/>
        </w:rPr>
        <w:t>תפיסה בטענה של "רכוש בשווי"</w:t>
      </w:r>
      <w:r w:rsidRPr="008A5D7A">
        <w:rPr>
          <w:rStyle w:val="FootnoteReference"/>
          <w:rFonts w:cs="David"/>
          <w:sz w:val="32"/>
          <w:szCs w:val="32"/>
          <w:rtl/>
        </w:rPr>
        <w:footnoteReference w:id="1"/>
      </w:r>
      <w:r w:rsidRPr="008A5D7A">
        <w:rPr>
          <w:rFonts w:cs="David" w:hint="cs"/>
          <w:sz w:val="32"/>
          <w:szCs w:val="32"/>
          <w:rtl/>
        </w:rPr>
        <w:t xml:space="preserve"> </w:t>
      </w:r>
      <w:r w:rsidRPr="008A5D7A">
        <w:rPr>
          <w:rFonts w:cs="David"/>
          <w:sz w:val="32"/>
          <w:szCs w:val="32"/>
          <w:rtl/>
        </w:rPr>
        <w:t>–</w:t>
      </w:r>
      <w:r w:rsidRPr="008A5D7A">
        <w:rPr>
          <w:rFonts w:cs="David" w:hint="cs"/>
          <w:sz w:val="32"/>
          <w:szCs w:val="32"/>
          <w:rtl/>
        </w:rPr>
        <w:t xml:space="preserve"> על המשטרה לציין את הרכוש המדויק בצו החיפוש ולא מספיק לציין באופן כללי את חוק איסור הלבנת הון. חריג הוא באם מדובר בחפצים אקראיים ותפיסתם תהא כפופה לביקורת שיפוטית שתתבצע בדיעבד (ס' 21)</w:t>
      </w:r>
    </w:p>
    <w:p w14:paraId="681F1CE8" w14:textId="77777777" w:rsidR="00187811" w:rsidRPr="008A5D7A" w:rsidRDefault="00187811" w:rsidP="00187811">
      <w:pPr>
        <w:pStyle w:val="ListParagraph"/>
        <w:numPr>
          <w:ilvl w:val="0"/>
          <w:numId w:val="1"/>
        </w:numPr>
        <w:spacing w:before="120" w:after="0" w:line="360" w:lineRule="auto"/>
        <w:contextualSpacing w:val="0"/>
        <w:jc w:val="both"/>
        <w:rPr>
          <w:rFonts w:cs="David"/>
          <w:sz w:val="32"/>
          <w:szCs w:val="32"/>
        </w:rPr>
      </w:pPr>
      <w:r w:rsidRPr="008A5D7A">
        <w:rPr>
          <w:rFonts w:cs="David" w:hint="cs"/>
          <w:sz w:val="32"/>
          <w:szCs w:val="32"/>
          <w:rtl/>
        </w:rPr>
        <w:t xml:space="preserve">תפיסת נכסי אומנות ותכשיטים (טבעת שעון עגילים וכיוצ"ב) בטענה של "רכוש בשווי" ללא שאותם חפצים צוינו מפורשות בצו החיפוש - מהווה תפיסה לא חוקית וביהמ"ש קובע שיש להפסיק </w:t>
      </w:r>
      <w:r w:rsidRPr="008A5D7A">
        <w:rPr>
          <w:rFonts w:cs="David" w:hint="cs"/>
          <w:sz w:val="32"/>
          <w:szCs w:val="32"/>
          <w:rtl/>
        </w:rPr>
        <w:lastRenderedPageBreak/>
        <w:t xml:space="preserve">פרקטיקה זו לאלתר. תפיסת התכשיטים מעל גופם גובל בחיפוש ללא צו ומהווה השפלה. </w:t>
      </w:r>
    </w:p>
    <w:p w14:paraId="0CA4D4EA" w14:textId="77777777" w:rsidR="00187811" w:rsidRPr="008A5D7A" w:rsidRDefault="00187811" w:rsidP="00187811">
      <w:pPr>
        <w:pStyle w:val="ListParagraph"/>
        <w:numPr>
          <w:ilvl w:val="0"/>
          <w:numId w:val="1"/>
        </w:numPr>
        <w:spacing w:before="120" w:after="0" w:line="360" w:lineRule="auto"/>
        <w:contextualSpacing w:val="0"/>
        <w:jc w:val="both"/>
        <w:rPr>
          <w:rFonts w:cs="David"/>
          <w:sz w:val="32"/>
          <w:szCs w:val="32"/>
        </w:rPr>
      </w:pPr>
      <w:r w:rsidRPr="008A5D7A">
        <w:rPr>
          <w:rFonts w:cs="David" w:hint="cs"/>
          <w:sz w:val="32"/>
          <w:szCs w:val="32"/>
          <w:rtl/>
        </w:rPr>
        <w:t xml:space="preserve">חפצי האומנות נקבע כי יוותרו תפוסים אך מחמת חלוף 6 חודשים ובמסגרת איזון הכולל את אי החוקיות שבתפיסה, שוחררו. </w:t>
      </w:r>
    </w:p>
    <w:p w14:paraId="2A88C650" w14:textId="77777777" w:rsidR="00187811" w:rsidRPr="008A5D7A" w:rsidRDefault="00187811" w:rsidP="00187811">
      <w:pPr>
        <w:pStyle w:val="ListParagraph"/>
        <w:numPr>
          <w:ilvl w:val="0"/>
          <w:numId w:val="1"/>
        </w:numPr>
        <w:spacing w:before="120" w:after="0" w:line="360" w:lineRule="auto"/>
        <w:contextualSpacing w:val="0"/>
        <w:jc w:val="both"/>
        <w:rPr>
          <w:rFonts w:cs="David"/>
          <w:sz w:val="32"/>
          <w:szCs w:val="32"/>
        </w:rPr>
      </w:pPr>
      <w:r w:rsidRPr="008A5D7A">
        <w:rPr>
          <w:rFonts w:cs="David" w:hint="cs"/>
          <w:sz w:val="32"/>
          <w:szCs w:val="32"/>
          <w:rtl/>
        </w:rPr>
        <w:t xml:space="preserve">האיזון הוא בין פוטנציאל החילוט והאפשרות לחילוט עתידי של רכוש בשווי, מול חלוף הזמן, פגיעה בקניין, התפתחות החקירה, הצפי לקיום משפט וסיומו בהרשעה וחילוט. יש בהמשך לבחון גם חלופת תפיסה (ס' 26). </w:t>
      </w:r>
    </w:p>
    <w:p w14:paraId="5C2CB278" w14:textId="77777777" w:rsidR="00187811" w:rsidRPr="008A5D7A" w:rsidRDefault="00187811" w:rsidP="00187811">
      <w:pPr>
        <w:pStyle w:val="ListParagraph"/>
        <w:numPr>
          <w:ilvl w:val="0"/>
          <w:numId w:val="1"/>
        </w:numPr>
        <w:spacing w:before="120" w:after="0" w:line="360" w:lineRule="auto"/>
        <w:contextualSpacing w:val="0"/>
        <w:jc w:val="both"/>
        <w:rPr>
          <w:rFonts w:cs="David"/>
          <w:sz w:val="32"/>
          <w:szCs w:val="32"/>
          <w:rtl/>
        </w:rPr>
      </w:pPr>
      <w:r w:rsidRPr="008A5D7A">
        <w:rPr>
          <w:rFonts w:cs="David" w:hint="cs"/>
          <w:sz w:val="32"/>
          <w:szCs w:val="32"/>
          <w:rtl/>
        </w:rPr>
        <w:t>אם באופן אקראי מצאו השוטרים סכום כסף שעליו לא ידעו ולכן לא יכלו לרשום בצו, יוכלו לתפוס את הכסף.</w:t>
      </w:r>
    </w:p>
    <w:p w14:paraId="39C78368" w14:textId="77777777" w:rsidR="00187811" w:rsidRPr="008A5D7A" w:rsidRDefault="00187811" w:rsidP="00187811">
      <w:pPr>
        <w:pStyle w:val="ListParagraph"/>
        <w:numPr>
          <w:ilvl w:val="0"/>
          <w:numId w:val="1"/>
        </w:numPr>
        <w:spacing w:before="120" w:after="0" w:line="360" w:lineRule="auto"/>
        <w:contextualSpacing w:val="0"/>
        <w:jc w:val="both"/>
        <w:rPr>
          <w:rFonts w:cs="David"/>
          <w:sz w:val="32"/>
          <w:szCs w:val="32"/>
        </w:rPr>
      </w:pPr>
      <w:r w:rsidRPr="008A5D7A">
        <w:rPr>
          <w:rFonts w:cs="David" w:hint="cs"/>
          <w:sz w:val="32"/>
          <w:szCs w:val="32"/>
          <w:rtl/>
        </w:rPr>
        <w:t xml:space="preserve">ביהמ"ש עושה אנאלוגיה בין הפגיעה בחירות בשל מעצר לבין הפגיעה בקניין בשל תפיסה. "מצווים לנהוג בזהירות יתרה .. עד למינימום ההכרחי .. בטרם נשפט והורשע" (ס' 17). </w:t>
      </w:r>
    </w:p>
    <w:p w14:paraId="3608F025" w14:textId="77777777" w:rsidR="00187811" w:rsidRPr="008A5D7A" w:rsidRDefault="00187811" w:rsidP="00187811">
      <w:pPr>
        <w:pStyle w:val="ListParagraph"/>
        <w:numPr>
          <w:ilvl w:val="0"/>
          <w:numId w:val="1"/>
        </w:numPr>
        <w:spacing w:before="120" w:line="360" w:lineRule="auto"/>
        <w:contextualSpacing w:val="0"/>
        <w:jc w:val="both"/>
        <w:rPr>
          <w:rFonts w:cs="David"/>
          <w:sz w:val="32"/>
          <w:szCs w:val="32"/>
        </w:rPr>
      </w:pPr>
      <w:r w:rsidRPr="008A5D7A">
        <w:rPr>
          <w:rFonts w:cs="David" w:hint="cs"/>
          <w:sz w:val="32"/>
          <w:szCs w:val="32"/>
          <w:rtl/>
        </w:rPr>
        <w:t xml:space="preserve">היקף החילוט לפי ס' 21 לחוק איסור הלבנת הון רחב ביותר ומאפשר תפיסה של רכוש שאינו קשור בעבירה זאת לעומת מקבילתה בסעיף 36א לפקודת הסמים שם נדרשת זיקה בין הרכוש המחולט לביצוע העבירות. </w:t>
      </w:r>
    </w:p>
    <w:p w14:paraId="0FF17A3C" w14:textId="77777777" w:rsidR="00187811" w:rsidRPr="008A5D7A" w:rsidRDefault="00187811" w:rsidP="00187811">
      <w:pPr>
        <w:pStyle w:val="ListParagraph"/>
        <w:numPr>
          <w:ilvl w:val="0"/>
          <w:numId w:val="2"/>
        </w:numPr>
        <w:spacing w:before="120" w:after="0" w:line="360" w:lineRule="auto"/>
        <w:jc w:val="both"/>
        <w:rPr>
          <w:rFonts w:cs="David"/>
          <w:sz w:val="32"/>
          <w:szCs w:val="32"/>
        </w:rPr>
      </w:pPr>
      <w:r w:rsidRPr="008A5D7A">
        <w:rPr>
          <w:rFonts w:cs="David" w:hint="cs"/>
          <w:b/>
          <w:bCs/>
          <w:sz w:val="32"/>
          <w:szCs w:val="32"/>
          <w:u w:val="single"/>
          <w:rtl/>
        </w:rPr>
        <w:t>ה"ת 51738-08-18 ברק אברמוב נ' מד"י</w:t>
      </w:r>
      <w:r w:rsidRPr="008A5D7A">
        <w:rPr>
          <w:rFonts w:cs="David" w:hint="cs"/>
          <w:b/>
          <w:bCs/>
          <w:sz w:val="32"/>
          <w:szCs w:val="32"/>
          <w:rtl/>
        </w:rPr>
        <w:t xml:space="preserve">: </w:t>
      </w:r>
    </w:p>
    <w:p w14:paraId="3DEB0B84" w14:textId="77777777" w:rsidR="00187811" w:rsidRPr="008A5D7A" w:rsidRDefault="00187811" w:rsidP="00187811">
      <w:pPr>
        <w:pStyle w:val="ListParagraph"/>
        <w:spacing w:before="120" w:after="0" w:line="360" w:lineRule="auto"/>
        <w:jc w:val="both"/>
        <w:rPr>
          <w:rFonts w:cs="David"/>
          <w:sz w:val="32"/>
          <w:szCs w:val="32"/>
          <w:rtl/>
        </w:rPr>
      </w:pPr>
      <w:r w:rsidRPr="008A5D7A">
        <w:rPr>
          <w:rFonts w:cs="David" w:hint="cs"/>
          <w:b/>
          <w:bCs/>
          <w:sz w:val="32"/>
          <w:szCs w:val="32"/>
          <w:rtl/>
        </w:rPr>
        <w:t>יישום פס"ד אלוביץ. תפיסת רכוש בשווי יעשה בשינויים המחויבים, השינוי המתחייב הוא שאין לתפוס רכוש בשווי ללא צו.</w:t>
      </w:r>
    </w:p>
    <w:p w14:paraId="7D2597DF" w14:textId="77777777" w:rsidR="00187811" w:rsidRPr="008A5D7A" w:rsidRDefault="00187811" w:rsidP="00187811">
      <w:pPr>
        <w:pStyle w:val="ListParagraph"/>
        <w:numPr>
          <w:ilvl w:val="0"/>
          <w:numId w:val="1"/>
        </w:numPr>
        <w:spacing w:before="120" w:after="0" w:line="360" w:lineRule="auto"/>
        <w:jc w:val="both"/>
        <w:rPr>
          <w:rFonts w:cs="David"/>
          <w:sz w:val="32"/>
          <w:szCs w:val="32"/>
          <w:rtl/>
        </w:rPr>
      </w:pPr>
      <w:r w:rsidRPr="008A5D7A">
        <w:rPr>
          <w:rFonts w:cs="David" w:hint="cs"/>
          <w:sz w:val="32"/>
          <w:szCs w:val="32"/>
          <w:rtl/>
        </w:rPr>
        <w:t xml:space="preserve">בטענות הצדדים צוין צ"ח 61103-06-18 שם צו החיפוש לא התיר מפורשות תפיסת רכוש בשווי.  </w:t>
      </w:r>
    </w:p>
    <w:p w14:paraId="26404CCF" w14:textId="77777777" w:rsidR="00187811" w:rsidRPr="008A5D7A" w:rsidRDefault="00187811" w:rsidP="00187811">
      <w:pPr>
        <w:pStyle w:val="ListParagraph"/>
        <w:spacing w:before="120" w:after="0" w:line="360" w:lineRule="auto"/>
        <w:jc w:val="both"/>
        <w:rPr>
          <w:rFonts w:cs="David"/>
          <w:sz w:val="32"/>
          <w:szCs w:val="32"/>
          <w:rtl/>
        </w:rPr>
      </w:pPr>
      <w:r w:rsidRPr="008A5D7A">
        <w:rPr>
          <w:rFonts w:cs="David" w:hint="cs"/>
          <w:sz w:val="32"/>
          <w:szCs w:val="32"/>
          <w:rtl/>
        </w:rPr>
        <w:t>עוד צוין צ"א 61247-06-18 שם הורה ביהמ"ש לבקשת המשיבה על רישום משכון ועיקול על הרכב לטובת המדינה (לא פורסם).</w:t>
      </w:r>
    </w:p>
    <w:p w14:paraId="0BCF725A" w14:textId="77777777" w:rsidR="00187811" w:rsidRPr="008A5D7A" w:rsidRDefault="00187811" w:rsidP="00187811">
      <w:pPr>
        <w:pStyle w:val="ListParagraph"/>
        <w:numPr>
          <w:ilvl w:val="0"/>
          <w:numId w:val="1"/>
        </w:numPr>
        <w:spacing w:before="120" w:after="0" w:line="360" w:lineRule="auto"/>
        <w:jc w:val="both"/>
        <w:rPr>
          <w:rFonts w:cs="David"/>
          <w:sz w:val="32"/>
          <w:szCs w:val="32"/>
        </w:rPr>
      </w:pPr>
      <w:r w:rsidRPr="008A5D7A">
        <w:rPr>
          <w:rFonts w:cs="David" w:hint="cs"/>
          <w:sz w:val="32"/>
          <w:szCs w:val="32"/>
          <w:rtl/>
        </w:rPr>
        <w:lastRenderedPageBreak/>
        <w:t>שלושה שעונים שנתפסו נקבע שיוחזרו בהתאם לפס"ד אלוביץ. זאת חרף שווים הרב (254,000, 25,410, 2,900) וכן הרכב שנתפס כ"רכוש בשווי".</w:t>
      </w:r>
    </w:p>
    <w:p w14:paraId="30628F4F" w14:textId="77777777" w:rsidR="00187811" w:rsidRPr="008A5D7A" w:rsidRDefault="00187811" w:rsidP="00187811">
      <w:pPr>
        <w:pStyle w:val="ListParagraph"/>
        <w:numPr>
          <w:ilvl w:val="0"/>
          <w:numId w:val="1"/>
        </w:numPr>
        <w:spacing w:before="120" w:line="360" w:lineRule="auto"/>
        <w:contextualSpacing w:val="0"/>
        <w:jc w:val="both"/>
        <w:rPr>
          <w:rFonts w:cs="David"/>
          <w:sz w:val="32"/>
          <w:szCs w:val="32"/>
        </w:rPr>
      </w:pPr>
      <w:r w:rsidRPr="008A5D7A">
        <w:rPr>
          <w:rFonts w:cs="David" w:hint="cs"/>
          <w:sz w:val="32"/>
          <w:szCs w:val="32"/>
          <w:rtl/>
        </w:rPr>
        <w:t xml:space="preserve">מרגע שנתפס רכוש, מצופה מהמדינה שלא תגיש בקשה במעמד צד אחד שאין לכך הצדקה. </w:t>
      </w:r>
    </w:p>
    <w:p w14:paraId="50208E68" w14:textId="77777777" w:rsidR="00187811" w:rsidRPr="008A5D7A" w:rsidRDefault="00187811" w:rsidP="00187811">
      <w:pPr>
        <w:pStyle w:val="ListParagraph"/>
        <w:numPr>
          <w:ilvl w:val="0"/>
          <w:numId w:val="2"/>
        </w:numPr>
        <w:spacing w:before="120" w:after="0" w:line="360" w:lineRule="auto"/>
        <w:contextualSpacing w:val="0"/>
        <w:jc w:val="both"/>
        <w:rPr>
          <w:rFonts w:cs="David"/>
          <w:sz w:val="32"/>
          <w:szCs w:val="32"/>
        </w:rPr>
      </w:pPr>
      <w:r w:rsidRPr="008A5D7A">
        <w:rPr>
          <w:rFonts w:cs="David" w:hint="cs"/>
          <w:b/>
          <w:bCs/>
          <w:sz w:val="32"/>
          <w:szCs w:val="32"/>
          <w:u w:val="single"/>
          <w:rtl/>
        </w:rPr>
        <w:t>ה"ת 6694-12-10 אבו סלימאן נ' מד"י</w:t>
      </w:r>
      <w:r w:rsidRPr="008A5D7A">
        <w:rPr>
          <w:rFonts w:cs="David" w:hint="cs"/>
          <w:sz w:val="32"/>
          <w:szCs w:val="32"/>
          <w:rtl/>
        </w:rPr>
        <w:t xml:space="preserve">: </w:t>
      </w:r>
    </w:p>
    <w:p w14:paraId="0C041B47" w14:textId="77777777" w:rsidR="00187811" w:rsidRPr="008A5D7A" w:rsidRDefault="00187811" w:rsidP="00187811">
      <w:pPr>
        <w:pStyle w:val="ListParagraph"/>
        <w:spacing w:before="120" w:after="0" w:line="360" w:lineRule="auto"/>
        <w:contextualSpacing w:val="0"/>
        <w:jc w:val="both"/>
        <w:rPr>
          <w:rFonts w:cs="David"/>
          <w:sz w:val="32"/>
          <w:szCs w:val="32"/>
          <w:rtl/>
        </w:rPr>
      </w:pPr>
      <w:r w:rsidRPr="008A5D7A">
        <w:rPr>
          <w:rFonts w:cs="David" w:hint="cs"/>
          <w:b/>
          <w:bCs/>
          <w:sz w:val="32"/>
          <w:szCs w:val="32"/>
          <w:rtl/>
        </w:rPr>
        <w:t>כנגד נאשם הוגש כ"א בעבירות סחיטה באיומים ועוד. נתפס 45,000 ₪ מאחורי הכספת + 4,000 ₪ בגופו של בעל. האישה עתרה לשחרור כל הכספים בטענה ששייכים לה. שוחרר הכסף שהוחבא והיתר שנתפס על גופו נותר תפוס.</w:t>
      </w:r>
      <w:r w:rsidRPr="008A5D7A">
        <w:rPr>
          <w:rFonts w:cs="David" w:hint="cs"/>
          <w:sz w:val="32"/>
          <w:szCs w:val="32"/>
          <w:rtl/>
        </w:rPr>
        <w:t xml:space="preserve"> </w:t>
      </w:r>
    </w:p>
    <w:p w14:paraId="14973110" w14:textId="77777777" w:rsidR="00187811" w:rsidRPr="008A5D7A" w:rsidRDefault="00187811" w:rsidP="00187811">
      <w:pPr>
        <w:pStyle w:val="ListParagraph"/>
        <w:numPr>
          <w:ilvl w:val="0"/>
          <w:numId w:val="1"/>
        </w:numPr>
        <w:spacing w:before="120" w:after="0" w:line="360" w:lineRule="auto"/>
        <w:contextualSpacing w:val="0"/>
        <w:jc w:val="both"/>
        <w:rPr>
          <w:rFonts w:cs="David"/>
          <w:sz w:val="32"/>
          <w:szCs w:val="32"/>
        </w:rPr>
      </w:pPr>
      <w:r w:rsidRPr="008A5D7A">
        <w:rPr>
          <w:rFonts w:cs="David" w:hint="cs"/>
          <w:sz w:val="32"/>
          <w:szCs w:val="32"/>
          <w:rtl/>
        </w:rPr>
        <w:t>המשך החזקת תפוס מהווה פגיעה נוספת לזו שבעצם התפיסה עצמה ועל התביעה להראות שאין המדובר בפגיעה העולה על הנדרש וכן את האפשרות לבחון חלופת תפיסה.</w:t>
      </w:r>
    </w:p>
    <w:p w14:paraId="0741E41E" w14:textId="77777777" w:rsidR="00187811" w:rsidRPr="008A5D7A" w:rsidRDefault="00187811" w:rsidP="00187811">
      <w:pPr>
        <w:pStyle w:val="ListParagraph"/>
        <w:numPr>
          <w:ilvl w:val="0"/>
          <w:numId w:val="1"/>
        </w:numPr>
        <w:spacing w:before="120" w:after="0" w:line="360" w:lineRule="auto"/>
        <w:contextualSpacing w:val="0"/>
        <w:jc w:val="both"/>
        <w:rPr>
          <w:rFonts w:cs="David"/>
          <w:sz w:val="32"/>
          <w:szCs w:val="32"/>
        </w:rPr>
      </w:pPr>
      <w:r w:rsidRPr="008A5D7A">
        <w:rPr>
          <w:rFonts w:cs="David" w:hint="cs"/>
          <w:sz w:val="32"/>
          <w:szCs w:val="32"/>
          <w:rtl/>
        </w:rPr>
        <w:t xml:space="preserve">בעת תפיסת החפץ </w:t>
      </w:r>
      <w:r w:rsidRPr="008A5D7A">
        <w:rPr>
          <w:rFonts w:cs="David"/>
          <w:sz w:val="32"/>
          <w:szCs w:val="32"/>
          <w:rtl/>
        </w:rPr>
        <w:t>–</w:t>
      </w:r>
      <w:r w:rsidRPr="008A5D7A">
        <w:rPr>
          <w:rFonts w:cs="David" w:hint="cs"/>
          <w:sz w:val="32"/>
          <w:szCs w:val="32"/>
          <w:rtl/>
        </w:rPr>
        <w:t xml:space="preserve"> די בקיומו של יסוד סביר להניח שישנו קשר כלשהו בין החפץ לבין העבירה שנעברה או עתידה להיעבר. </w:t>
      </w:r>
    </w:p>
    <w:p w14:paraId="05D91A4F" w14:textId="77777777" w:rsidR="00187811" w:rsidRPr="008A5D7A" w:rsidRDefault="00187811" w:rsidP="00187811">
      <w:pPr>
        <w:pStyle w:val="ListParagraph"/>
        <w:spacing w:before="120" w:after="0" w:line="360" w:lineRule="auto"/>
        <w:contextualSpacing w:val="0"/>
        <w:jc w:val="both"/>
        <w:rPr>
          <w:rFonts w:cs="David"/>
          <w:sz w:val="32"/>
          <w:szCs w:val="32"/>
          <w:rtl/>
        </w:rPr>
      </w:pPr>
      <w:r w:rsidRPr="008A5D7A">
        <w:rPr>
          <w:rFonts w:cs="David" w:hint="cs"/>
          <w:sz w:val="32"/>
          <w:szCs w:val="32"/>
          <w:rtl/>
        </w:rPr>
        <w:t xml:space="preserve">לאחר שמוגש כ"א, הרף עולה והדרישה היא "יסוד סביר להרשעה" בדומה לזה הנדרש למעצר עד תום הליכים. </w:t>
      </w:r>
    </w:p>
    <w:p w14:paraId="74D30025" w14:textId="77777777" w:rsidR="00187811" w:rsidRPr="008A5D7A" w:rsidRDefault="00187811" w:rsidP="00187811">
      <w:pPr>
        <w:pStyle w:val="ListParagraph"/>
        <w:numPr>
          <w:ilvl w:val="0"/>
          <w:numId w:val="1"/>
        </w:numPr>
        <w:spacing w:before="120" w:after="0" w:line="360" w:lineRule="auto"/>
        <w:contextualSpacing w:val="0"/>
        <w:jc w:val="both"/>
        <w:rPr>
          <w:rFonts w:cs="David"/>
          <w:sz w:val="32"/>
          <w:szCs w:val="32"/>
        </w:rPr>
      </w:pPr>
      <w:r w:rsidRPr="008A5D7A">
        <w:rPr>
          <w:rFonts w:cs="David" w:hint="cs"/>
          <w:sz w:val="32"/>
          <w:szCs w:val="32"/>
          <w:rtl/>
        </w:rPr>
        <w:t xml:space="preserve">על מנת להמשיך להחזיק כסף, יש להוכיח כי </w:t>
      </w:r>
      <w:r w:rsidRPr="008A5D7A">
        <w:rPr>
          <w:rFonts w:cs="David" w:hint="cs"/>
          <w:b/>
          <w:bCs/>
          <w:sz w:val="32"/>
          <w:szCs w:val="32"/>
          <w:rtl/>
        </w:rPr>
        <w:t>באותו</w:t>
      </w:r>
      <w:r w:rsidRPr="008A5D7A">
        <w:rPr>
          <w:rFonts w:cs="David" w:hint="cs"/>
          <w:sz w:val="32"/>
          <w:szCs w:val="32"/>
          <w:rtl/>
        </w:rPr>
        <w:t xml:space="preserve"> כסף נעברה העבירה או עומדים לעברה וכיוצ"ב (ס' 18). </w:t>
      </w:r>
    </w:p>
    <w:p w14:paraId="5DB9752A" w14:textId="77777777" w:rsidR="00187811" w:rsidRPr="008E1DC6" w:rsidRDefault="00187811" w:rsidP="00187811">
      <w:pPr>
        <w:pStyle w:val="ListParagraph"/>
        <w:numPr>
          <w:ilvl w:val="0"/>
          <w:numId w:val="1"/>
        </w:numPr>
        <w:spacing w:before="120" w:after="0" w:line="360" w:lineRule="auto"/>
        <w:contextualSpacing w:val="0"/>
        <w:jc w:val="both"/>
        <w:rPr>
          <w:rFonts w:cs="David"/>
          <w:sz w:val="32"/>
          <w:szCs w:val="32"/>
          <w:rtl/>
        </w:rPr>
      </w:pPr>
      <w:r w:rsidRPr="008A5D7A">
        <w:rPr>
          <w:rFonts w:cs="David" w:hint="cs"/>
          <w:sz w:val="32"/>
          <w:szCs w:val="32"/>
          <w:rtl/>
        </w:rPr>
        <w:t xml:space="preserve">סכום של 47,000 ₪ נתפס בבית המבקשת. בעלה מואש בסחיטה באיומים. ניתנו הסברים מעוררי חשד בקשר לכסף וגם עצם הימצאותו מאחורי הכספת מעורר חשד. עם זאת, נמצא קושי לקשור בין הכסף לבין היות הבעל בעליו ולבין העבירה מה שהוביל לבחינת חלופת תפיסה. </w:t>
      </w:r>
    </w:p>
    <w:p w14:paraId="2ED0B17D" w14:textId="77777777" w:rsidR="00187811" w:rsidRPr="008A5D7A" w:rsidRDefault="00187811">
      <w:pPr>
        <w:rPr>
          <w:rFonts w:cs="David"/>
          <w:sz w:val="32"/>
          <w:szCs w:val="32"/>
          <w:rtl/>
        </w:rPr>
      </w:pPr>
    </w:p>
    <w:sectPr w:rsidR="00187811" w:rsidRPr="008A5D7A" w:rsidSect="00662084">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2A23F" w14:textId="77777777" w:rsidR="00C2395E" w:rsidRDefault="00C2395E" w:rsidP="00E318C4">
      <w:pPr>
        <w:spacing w:after="0" w:line="240" w:lineRule="auto"/>
      </w:pPr>
      <w:r>
        <w:separator/>
      </w:r>
    </w:p>
  </w:endnote>
  <w:endnote w:type="continuationSeparator" w:id="0">
    <w:p w14:paraId="2D1C10F1" w14:textId="77777777" w:rsidR="00C2395E" w:rsidRDefault="00C2395E" w:rsidP="00E31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 New Roman">
    <w:altName w:val="Times New Roman"/>
    <w:panose1 w:val="00000000000000000000"/>
    <w:charset w:val="00"/>
    <w:family w:val="roman"/>
    <w:notTrueType/>
    <w:pitch w:val="default"/>
  </w:font>
  <w:font w:name="Miriam">
    <w:panose1 w:val="020B0502050101010101"/>
    <w:charset w:val="00"/>
    <w:family w:val="swiss"/>
    <w:pitch w:val="variable"/>
    <w:sig w:usb0="00000803" w:usb1="00000000" w:usb2="00000000" w:usb3="00000000" w:csb0="00000021" w:csb1="00000000"/>
  </w:font>
  <w:font w:name="FrankRuehl">
    <w:panose1 w:val="020E050306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E8108" w14:textId="77777777" w:rsidR="00C2395E" w:rsidRDefault="00C2395E" w:rsidP="00E318C4">
      <w:pPr>
        <w:spacing w:after="0" w:line="240" w:lineRule="auto"/>
      </w:pPr>
      <w:r>
        <w:separator/>
      </w:r>
    </w:p>
  </w:footnote>
  <w:footnote w:type="continuationSeparator" w:id="0">
    <w:p w14:paraId="46E61600" w14:textId="77777777" w:rsidR="00C2395E" w:rsidRDefault="00C2395E" w:rsidP="00E318C4">
      <w:pPr>
        <w:spacing w:after="0" w:line="240" w:lineRule="auto"/>
      </w:pPr>
      <w:r>
        <w:continuationSeparator/>
      </w:r>
    </w:p>
  </w:footnote>
  <w:footnote w:id="1">
    <w:p w14:paraId="4C856843" w14:textId="77777777" w:rsidR="00187811" w:rsidRPr="00E318C4" w:rsidRDefault="00187811" w:rsidP="00187811">
      <w:pPr>
        <w:spacing w:before="120" w:after="0" w:line="360" w:lineRule="auto"/>
        <w:jc w:val="both"/>
        <w:rPr>
          <w:rFonts w:cs="David"/>
          <w:sz w:val="20"/>
          <w:szCs w:val="20"/>
        </w:rPr>
      </w:pPr>
      <w:r w:rsidRPr="00E318C4">
        <w:rPr>
          <w:rStyle w:val="FootnoteReference"/>
          <w:sz w:val="20"/>
          <w:szCs w:val="20"/>
        </w:rPr>
        <w:footnoteRef/>
      </w:r>
      <w:r w:rsidRPr="00E318C4">
        <w:rPr>
          <w:sz w:val="20"/>
          <w:szCs w:val="20"/>
          <w:rtl/>
        </w:rPr>
        <w:t xml:space="preserve"> </w:t>
      </w:r>
      <w:r w:rsidRPr="00E318C4">
        <w:rPr>
          <w:rFonts w:cs="David" w:hint="cs"/>
          <w:sz w:val="20"/>
          <w:szCs w:val="20"/>
          <w:rtl/>
        </w:rPr>
        <w:t>תפיסת רכוש בשווי כמתאפשר לפי ס' 26(א) לחוק איסור הלבנת הון, מהווה עילת תפיסה שישית המתווספת לחמש המנויות לפי ס' 32 לפסד"פ.</w:t>
      </w:r>
    </w:p>
    <w:p w14:paraId="34FDBF70" w14:textId="77777777" w:rsidR="00187811" w:rsidRPr="00E318C4" w:rsidRDefault="00187811" w:rsidP="00187811">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85780"/>
    <w:multiLevelType w:val="hybridMultilevel"/>
    <w:tmpl w:val="776E1DD4"/>
    <w:lvl w:ilvl="0" w:tplc="C8A64738">
      <w:numFmt w:val="bullet"/>
      <w:lvlText w:val="-"/>
      <w:lvlJc w:val="left"/>
      <w:pPr>
        <w:ind w:left="720" w:hanging="360"/>
      </w:pPr>
      <w:rPr>
        <w:rFonts w:asciiTheme="minorHAnsi" w:eastAsiaTheme="minorHAnsi" w:hAnsiTheme="minorHAnsi" w:cs="David" w:hint="default"/>
        <w:b/>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1F2A87"/>
    <w:multiLevelType w:val="hybridMultilevel"/>
    <w:tmpl w:val="9976B6EA"/>
    <w:lvl w:ilvl="0" w:tplc="874277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965A0F"/>
    <w:multiLevelType w:val="hybridMultilevel"/>
    <w:tmpl w:val="7B503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71F2E27"/>
    <w:multiLevelType w:val="hybridMultilevel"/>
    <w:tmpl w:val="F01AD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6007029">
    <w:abstractNumId w:val="0"/>
  </w:num>
  <w:num w:numId="2" w16cid:durableId="1225524267">
    <w:abstractNumId w:val="3"/>
  </w:num>
  <w:num w:numId="3" w16cid:durableId="19669717">
    <w:abstractNumId w:val="1"/>
  </w:num>
  <w:num w:numId="4" w16cid:durableId="1584284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26844"/>
    <w:rsid w:val="00025EBD"/>
    <w:rsid w:val="00026844"/>
    <w:rsid w:val="00030FF1"/>
    <w:rsid w:val="000952DB"/>
    <w:rsid w:val="000A198B"/>
    <w:rsid w:val="000C2930"/>
    <w:rsid w:val="000E33E5"/>
    <w:rsid w:val="000F4933"/>
    <w:rsid w:val="00107E18"/>
    <w:rsid w:val="00187811"/>
    <w:rsid w:val="00201D71"/>
    <w:rsid w:val="002243B1"/>
    <w:rsid w:val="00236D64"/>
    <w:rsid w:val="002A181E"/>
    <w:rsid w:val="002C3C98"/>
    <w:rsid w:val="002D45F5"/>
    <w:rsid w:val="002F38DE"/>
    <w:rsid w:val="0030301F"/>
    <w:rsid w:val="0031001C"/>
    <w:rsid w:val="00317A24"/>
    <w:rsid w:val="0032278D"/>
    <w:rsid w:val="003256AC"/>
    <w:rsid w:val="00366EFD"/>
    <w:rsid w:val="003D6E92"/>
    <w:rsid w:val="00422CCF"/>
    <w:rsid w:val="004373F9"/>
    <w:rsid w:val="0044120B"/>
    <w:rsid w:val="00450B1A"/>
    <w:rsid w:val="004A4E6E"/>
    <w:rsid w:val="004D1847"/>
    <w:rsid w:val="004D28D6"/>
    <w:rsid w:val="0066095D"/>
    <w:rsid w:val="00662084"/>
    <w:rsid w:val="006C3731"/>
    <w:rsid w:val="006D1E7C"/>
    <w:rsid w:val="006E79B7"/>
    <w:rsid w:val="0075436A"/>
    <w:rsid w:val="00774F93"/>
    <w:rsid w:val="0081254D"/>
    <w:rsid w:val="0081444B"/>
    <w:rsid w:val="00827E48"/>
    <w:rsid w:val="008336AA"/>
    <w:rsid w:val="008337DF"/>
    <w:rsid w:val="00847C44"/>
    <w:rsid w:val="0088075B"/>
    <w:rsid w:val="00886678"/>
    <w:rsid w:val="008919C9"/>
    <w:rsid w:val="008A5D7A"/>
    <w:rsid w:val="008B2CD4"/>
    <w:rsid w:val="008D2FD3"/>
    <w:rsid w:val="008D6F88"/>
    <w:rsid w:val="008E1DC6"/>
    <w:rsid w:val="008E20FF"/>
    <w:rsid w:val="008E5EC9"/>
    <w:rsid w:val="00951479"/>
    <w:rsid w:val="00951A84"/>
    <w:rsid w:val="00970969"/>
    <w:rsid w:val="009715C7"/>
    <w:rsid w:val="00976233"/>
    <w:rsid w:val="009B742C"/>
    <w:rsid w:val="009C7EB4"/>
    <w:rsid w:val="009D0424"/>
    <w:rsid w:val="009D4101"/>
    <w:rsid w:val="009F58AE"/>
    <w:rsid w:val="009F749E"/>
    <w:rsid w:val="00A8513F"/>
    <w:rsid w:val="00A96E33"/>
    <w:rsid w:val="00B10652"/>
    <w:rsid w:val="00B46DA5"/>
    <w:rsid w:val="00B86D47"/>
    <w:rsid w:val="00C067FD"/>
    <w:rsid w:val="00C12497"/>
    <w:rsid w:val="00C17281"/>
    <w:rsid w:val="00C17493"/>
    <w:rsid w:val="00C2395E"/>
    <w:rsid w:val="00C27676"/>
    <w:rsid w:val="00C367A5"/>
    <w:rsid w:val="00C56D01"/>
    <w:rsid w:val="00C65272"/>
    <w:rsid w:val="00CF2A66"/>
    <w:rsid w:val="00CF4646"/>
    <w:rsid w:val="00CF7537"/>
    <w:rsid w:val="00D05AE9"/>
    <w:rsid w:val="00D11DC6"/>
    <w:rsid w:val="00D12283"/>
    <w:rsid w:val="00D25146"/>
    <w:rsid w:val="00DA6E3A"/>
    <w:rsid w:val="00DA705B"/>
    <w:rsid w:val="00DF2034"/>
    <w:rsid w:val="00E318C4"/>
    <w:rsid w:val="00E5508F"/>
    <w:rsid w:val="00E64076"/>
    <w:rsid w:val="00E9367B"/>
    <w:rsid w:val="00EE3DE1"/>
    <w:rsid w:val="00F275A6"/>
    <w:rsid w:val="00F36EB2"/>
    <w:rsid w:val="00F444FF"/>
    <w:rsid w:val="00F83249"/>
    <w:rsid w:val="00FA3828"/>
    <w:rsid w:val="00FE1AF5"/>
    <w:rsid w:val="00FF473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C0C9B"/>
  <w15:docId w15:val="{43A9F750-8277-4161-B8DC-8FA9EC264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E1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2-header">
    <w:name w:val="medium2-header"/>
    <w:basedOn w:val="Normal"/>
    <w:rsid w:val="00026844"/>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00">
    <w:name w:val="p00"/>
    <w:basedOn w:val="Normal"/>
    <w:rsid w:val="00026844"/>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g-number">
    <w:name w:val="big-number"/>
    <w:basedOn w:val="DefaultParagraphFont"/>
    <w:rsid w:val="00026844"/>
  </w:style>
  <w:style w:type="character" w:customStyle="1" w:styleId="default">
    <w:name w:val="default"/>
    <w:basedOn w:val="DefaultParagraphFont"/>
    <w:rsid w:val="00026844"/>
  </w:style>
  <w:style w:type="paragraph" w:customStyle="1" w:styleId="p22">
    <w:name w:val="p22"/>
    <w:basedOn w:val="Normal"/>
    <w:rsid w:val="0002684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51479"/>
    <w:pPr>
      <w:ind w:left="720"/>
      <w:contextualSpacing/>
    </w:pPr>
  </w:style>
  <w:style w:type="paragraph" w:styleId="FootnoteText">
    <w:name w:val="footnote text"/>
    <w:basedOn w:val="Normal"/>
    <w:link w:val="FootnoteTextChar"/>
    <w:uiPriority w:val="99"/>
    <w:semiHidden/>
    <w:unhideWhenUsed/>
    <w:rsid w:val="00E318C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18C4"/>
    <w:rPr>
      <w:sz w:val="20"/>
      <w:szCs w:val="20"/>
    </w:rPr>
  </w:style>
  <w:style w:type="character" w:styleId="FootnoteReference">
    <w:name w:val="footnote reference"/>
    <w:basedOn w:val="DefaultParagraphFont"/>
    <w:uiPriority w:val="99"/>
    <w:semiHidden/>
    <w:unhideWhenUsed/>
    <w:rsid w:val="00E318C4"/>
    <w:rPr>
      <w:vertAlign w:val="superscript"/>
    </w:rPr>
  </w:style>
  <w:style w:type="character" w:styleId="Strong">
    <w:name w:val="Strong"/>
    <w:basedOn w:val="DefaultParagraphFont"/>
    <w:uiPriority w:val="22"/>
    <w:qFormat/>
    <w:rsid w:val="004D18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553040">
      <w:bodyDiv w:val="1"/>
      <w:marLeft w:val="0"/>
      <w:marRight w:val="0"/>
      <w:marTop w:val="0"/>
      <w:marBottom w:val="0"/>
      <w:divBdr>
        <w:top w:val="none" w:sz="0" w:space="0" w:color="auto"/>
        <w:left w:val="none" w:sz="0" w:space="0" w:color="auto"/>
        <w:bottom w:val="none" w:sz="0" w:space="0" w:color="auto"/>
        <w:right w:val="none" w:sz="0" w:space="0" w:color="auto"/>
      </w:divBdr>
    </w:div>
    <w:div w:id="239943676">
      <w:bodyDiv w:val="1"/>
      <w:marLeft w:val="0"/>
      <w:marRight w:val="0"/>
      <w:marTop w:val="0"/>
      <w:marBottom w:val="0"/>
      <w:divBdr>
        <w:top w:val="none" w:sz="0" w:space="0" w:color="auto"/>
        <w:left w:val="none" w:sz="0" w:space="0" w:color="auto"/>
        <w:bottom w:val="none" w:sz="0" w:space="0" w:color="auto"/>
        <w:right w:val="none" w:sz="0" w:space="0" w:color="auto"/>
      </w:divBdr>
    </w:div>
    <w:div w:id="366952636">
      <w:bodyDiv w:val="1"/>
      <w:marLeft w:val="0"/>
      <w:marRight w:val="0"/>
      <w:marTop w:val="0"/>
      <w:marBottom w:val="0"/>
      <w:divBdr>
        <w:top w:val="none" w:sz="0" w:space="0" w:color="auto"/>
        <w:left w:val="none" w:sz="0" w:space="0" w:color="auto"/>
        <w:bottom w:val="none" w:sz="0" w:space="0" w:color="auto"/>
        <w:right w:val="none" w:sz="0" w:space="0" w:color="auto"/>
      </w:divBdr>
    </w:div>
    <w:div w:id="862521330">
      <w:bodyDiv w:val="1"/>
      <w:marLeft w:val="0"/>
      <w:marRight w:val="0"/>
      <w:marTop w:val="0"/>
      <w:marBottom w:val="0"/>
      <w:divBdr>
        <w:top w:val="none" w:sz="0" w:space="0" w:color="auto"/>
        <w:left w:val="none" w:sz="0" w:space="0" w:color="auto"/>
        <w:bottom w:val="none" w:sz="0" w:space="0" w:color="auto"/>
        <w:right w:val="none" w:sz="0" w:space="0" w:color="auto"/>
      </w:divBdr>
    </w:div>
    <w:div w:id="1142499808">
      <w:bodyDiv w:val="1"/>
      <w:marLeft w:val="0"/>
      <w:marRight w:val="0"/>
      <w:marTop w:val="0"/>
      <w:marBottom w:val="0"/>
      <w:divBdr>
        <w:top w:val="none" w:sz="0" w:space="0" w:color="auto"/>
        <w:left w:val="none" w:sz="0" w:space="0" w:color="auto"/>
        <w:bottom w:val="none" w:sz="0" w:space="0" w:color="auto"/>
        <w:right w:val="none" w:sz="0" w:space="0" w:color="auto"/>
      </w:divBdr>
    </w:div>
    <w:div w:id="185126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1387</TotalTime>
  <Pages>9</Pages>
  <Words>2227</Words>
  <Characters>11137</Characters>
  <Application>Microsoft Office Word</Application>
  <DocSecurity>0</DocSecurity>
  <Lines>92</Lines>
  <Paragraphs>26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13338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44</cp:revision>
  <cp:lastPrinted>2019-10-31T09:37:00Z</cp:lastPrinted>
  <dcterms:created xsi:type="dcterms:W3CDTF">2018-11-04T09:54:00Z</dcterms:created>
  <dcterms:modified xsi:type="dcterms:W3CDTF">2025-03-11T08:27:00Z</dcterms:modified>
</cp:coreProperties>
</file>