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90592" w14:textId="77777777" w:rsidR="00A47541" w:rsidRPr="00933A75" w:rsidRDefault="00A47541" w:rsidP="00A47541">
      <w:pPr>
        <w:rPr>
          <w:rFonts w:cs="David"/>
          <w:rtl/>
        </w:rPr>
      </w:pPr>
    </w:p>
    <w:p w14:paraId="30975B8D" w14:textId="77777777" w:rsidR="00A47541" w:rsidRPr="00933A75" w:rsidRDefault="00A47541" w:rsidP="00A47541">
      <w:pPr>
        <w:ind w:left="2160" w:firstLine="720"/>
        <w:rPr>
          <w:rFonts w:cs="David"/>
          <w:rtl/>
        </w:rPr>
      </w:pPr>
      <w:r w:rsidRPr="00933A75">
        <w:rPr>
          <w:rFonts w:cs="David" w:hint="cs"/>
          <w:rtl/>
        </w:rPr>
        <w:t xml:space="preserve">שנערך ונחתם ביום </w:t>
      </w:r>
      <w:r w:rsidRPr="00933A75">
        <w:rPr>
          <w:rFonts w:cs="David"/>
          <w:rtl/>
        </w:rPr>
        <w:softHyphen/>
      </w:r>
      <w:r w:rsidRPr="00933A75">
        <w:rPr>
          <w:rFonts w:cs="David" w:hint="cs"/>
          <w:rtl/>
        </w:rPr>
        <w:softHyphen/>
      </w:r>
      <w:r w:rsidRPr="00933A75">
        <w:rPr>
          <w:rFonts w:cs="David"/>
          <w:rtl/>
        </w:rPr>
        <w:softHyphen/>
      </w:r>
      <w:r w:rsidRPr="00933A75">
        <w:rPr>
          <w:rFonts w:cs="David"/>
          <w:rtl/>
        </w:rPr>
        <w:softHyphen/>
      </w:r>
      <w:r w:rsidRPr="00933A75">
        <w:rPr>
          <w:rFonts w:cs="David"/>
          <w:rtl/>
        </w:rPr>
        <w:softHyphen/>
      </w:r>
      <w:r w:rsidRPr="00933A75">
        <w:rPr>
          <w:rFonts w:cs="David"/>
          <w:rtl/>
        </w:rPr>
        <w:softHyphen/>
      </w:r>
      <w:r w:rsidRPr="00933A75">
        <w:rPr>
          <w:rFonts w:cs="David"/>
          <w:rtl/>
        </w:rPr>
        <w:softHyphen/>
      </w:r>
      <w:r w:rsidRPr="00933A75">
        <w:rPr>
          <w:rFonts w:cs="David" w:hint="cs"/>
          <w:rtl/>
        </w:rPr>
        <w:softHyphen/>
        <w:t>______________</w:t>
      </w:r>
    </w:p>
    <w:p w14:paraId="399FFBD3" w14:textId="77777777" w:rsidR="00A47541" w:rsidRPr="00A92224" w:rsidRDefault="00A47541" w:rsidP="00A47541">
      <w:pPr>
        <w:ind w:left="-874" w:right="-900"/>
        <w:rPr>
          <w:rFonts w:cs="David"/>
          <w:rtl/>
        </w:rPr>
      </w:pPr>
      <w:r w:rsidRPr="00933A75">
        <w:rPr>
          <w:rFonts w:cs="David" w:hint="cs"/>
          <w:rtl/>
        </w:rPr>
        <w:t>לפני:</w:t>
      </w:r>
      <w:r w:rsidRPr="00A01CF0">
        <w:rPr>
          <w:rFonts w:cs="David" w:hint="cs"/>
          <w:b/>
          <w:bCs/>
          <w:rtl/>
        </w:rPr>
        <w:t xml:space="preserve"> עו"ד </w:t>
      </w:r>
      <w:r w:rsidR="00BA6335">
        <w:rPr>
          <w:rFonts w:cs="David" w:hint="cs"/>
          <w:b/>
          <w:bCs/>
        </w:rPr>
        <w:t>XXXXXXX</w:t>
      </w:r>
      <w:r w:rsidRPr="00A01CF0">
        <w:rPr>
          <w:rFonts w:cs="David" w:hint="cs"/>
          <w:b/>
          <w:bCs/>
          <w:rtl/>
        </w:rPr>
        <w:t xml:space="preserve"> ו/או מי מטעמו</w:t>
      </w:r>
      <w:r w:rsidRPr="00933A75">
        <w:rPr>
          <w:rFonts w:cs="David" w:hint="cs"/>
          <w:rtl/>
        </w:rPr>
        <w:t xml:space="preserve"> </w:t>
      </w:r>
    </w:p>
    <w:p w14:paraId="498CB20E" w14:textId="77777777" w:rsidR="00A47541" w:rsidRPr="00A01CF0" w:rsidRDefault="00A47541" w:rsidP="00A01CF0">
      <w:pPr>
        <w:ind w:left="-874" w:right="-900"/>
        <w:rPr>
          <w:rFonts w:cs="David"/>
          <w:b/>
          <w:bCs/>
          <w:rtl/>
        </w:rPr>
      </w:pPr>
      <w:r>
        <w:rPr>
          <w:rFonts w:cs="David" w:hint="cs"/>
          <w:rtl/>
        </w:rPr>
        <w:t xml:space="preserve">         </w:t>
      </w:r>
      <w:r w:rsidRPr="00A01CF0">
        <w:rPr>
          <w:rFonts w:cs="David" w:hint="cs"/>
          <w:b/>
          <w:bCs/>
          <w:rtl/>
        </w:rPr>
        <w:t xml:space="preserve">מרח' </w:t>
      </w:r>
      <w:r w:rsidR="00BA6335">
        <w:rPr>
          <w:rFonts w:cs="David" w:hint="cs"/>
          <w:b/>
          <w:bCs/>
        </w:rPr>
        <w:t>XXXXX</w:t>
      </w:r>
      <w:r w:rsidR="00A01CF0" w:rsidRPr="00A01CF0">
        <w:rPr>
          <w:rFonts w:cs="David" w:hint="cs"/>
          <w:b/>
          <w:bCs/>
          <w:rtl/>
        </w:rPr>
        <w:t xml:space="preserve">, בניין </w:t>
      </w:r>
      <w:r w:rsidR="00BA6335">
        <w:rPr>
          <w:rFonts w:cs="David" w:hint="cs"/>
          <w:b/>
          <w:bCs/>
        </w:rPr>
        <w:t>XXXX</w:t>
      </w:r>
      <w:r w:rsidR="00BA6335">
        <w:rPr>
          <w:rFonts w:cs="David" w:hint="cs"/>
          <w:b/>
          <w:bCs/>
          <w:rtl/>
        </w:rPr>
        <w:t>,</w:t>
      </w:r>
      <w:r w:rsidR="00A01CF0" w:rsidRPr="00A01CF0">
        <w:rPr>
          <w:rFonts w:cs="David" w:hint="cs"/>
          <w:b/>
          <w:bCs/>
          <w:rtl/>
        </w:rPr>
        <w:t xml:space="preserve"> בני ברק</w:t>
      </w:r>
      <w:r w:rsidRPr="00A01CF0">
        <w:rPr>
          <w:rFonts w:cs="David" w:hint="cs"/>
          <w:b/>
          <w:bCs/>
          <w:rtl/>
        </w:rPr>
        <w:t xml:space="preserve"> (להלן "עוה"ד")</w:t>
      </w:r>
    </w:p>
    <w:p w14:paraId="3597AC36" w14:textId="77777777" w:rsidR="00A47541" w:rsidRDefault="00A47541" w:rsidP="00A47541">
      <w:pPr>
        <w:ind w:left="-874" w:right="-902"/>
        <w:rPr>
          <w:rFonts w:cs="David"/>
          <w:rtl/>
        </w:rPr>
      </w:pPr>
    </w:p>
    <w:p w14:paraId="16B66764" w14:textId="77777777" w:rsidR="00A47541" w:rsidRPr="00D84AC2" w:rsidRDefault="00A47541" w:rsidP="00A47541">
      <w:pPr>
        <w:ind w:left="-874" w:right="-902"/>
        <w:rPr>
          <w:rFonts w:cs="David"/>
          <w:rtl/>
        </w:rPr>
      </w:pPr>
      <w:r w:rsidRPr="00D84AC2">
        <w:rPr>
          <w:rFonts w:cs="David" w:hint="cs"/>
          <w:rtl/>
        </w:rPr>
        <w:t>על ידי: _________________ת.ז. ____________________  (להלן "הלקוח")</w:t>
      </w:r>
      <w:r>
        <w:rPr>
          <w:rFonts w:cs="David" w:hint="cs"/>
          <w:rtl/>
        </w:rPr>
        <w:t xml:space="preserve">. </w:t>
      </w:r>
      <w:r w:rsidRPr="00933A75">
        <w:rPr>
          <w:rFonts w:cs="David"/>
        </w:rPr>
        <w:t>Email:</w:t>
      </w:r>
      <w:r w:rsidRPr="00D84AC2">
        <w:rPr>
          <w:rFonts w:cs="David"/>
        </w:rPr>
        <w:t>___________________________________</w:t>
      </w:r>
    </w:p>
    <w:p w14:paraId="6EA91DA6" w14:textId="77777777" w:rsidR="00A47541" w:rsidRDefault="00A47541" w:rsidP="00A47541">
      <w:pPr>
        <w:tabs>
          <w:tab w:val="left" w:pos="7256"/>
        </w:tabs>
        <w:ind w:left="-874" w:right="-902"/>
        <w:rPr>
          <w:rFonts w:cs="David"/>
          <w:rtl/>
        </w:rPr>
      </w:pPr>
    </w:p>
    <w:p w14:paraId="68E35D97" w14:textId="77777777" w:rsidR="00A47541" w:rsidRDefault="00A47541" w:rsidP="00A47541">
      <w:pPr>
        <w:tabs>
          <w:tab w:val="left" w:pos="7256"/>
        </w:tabs>
        <w:ind w:left="-874" w:right="-902"/>
        <w:rPr>
          <w:rFonts w:cs="David"/>
          <w:rtl/>
        </w:rPr>
      </w:pPr>
      <w:r>
        <w:rPr>
          <w:rFonts w:cs="David" w:hint="cs"/>
          <w:rtl/>
        </w:rPr>
        <w:t>הואיל: והלקוח פנה לעוה"ד וביקש לשכור או לייצג ו/או להיועץ ו/או לטפל עבורו ב ____________________________________________________________________________________שהוגש/ה כנגד הלקוח.</w:t>
      </w:r>
    </w:p>
    <w:p w14:paraId="758A6675" w14:textId="77777777" w:rsidR="00A47541" w:rsidRDefault="00A47541" w:rsidP="00A47541">
      <w:pPr>
        <w:ind w:left="-873" w:right="-902"/>
        <w:rPr>
          <w:rFonts w:cs="David"/>
          <w:rtl/>
        </w:rPr>
      </w:pPr>
    </w:p>
    <w:p w14:paraId="59899954" w14:textId="77777777" w:rsidR="00A47541" w:rsidRDefault="00A47541" w:rsidP="00A47541">
      <w:pPr>
        <w:ind w:left="-873" w:right="-902"/>
        <w:rPr>
          <w:rFonts w:cs="David"/>
          <w:rtl/>
        </w:rPr>
      </w:pPr>
      <w:r>
        <w:rPr>
          <w:rFonts w:cs="David" w:hint="cs"/>
          <w:rtl/>
        </w:rPr>
        <w:t>והואיל: והלקוח מעוניין להעלות את התחייבותו לעוה"ד על הכתב כמפורט בהתחייבותו זו.</w:t>
      </w:r>
    </w:p>
    <w:p w14:paraId="0ECC0B0D" w14:textId="77777777" w:rsidR="00A47541" w:rsidRDefault="00A47541" w:rsidP="00A47541">
      <w:pPr>
        <w:ind w:left="-874" w:right="-902"/>
        <w:rPr>
          <w:rFonts w:cs="David"/>
          <w:b/>
          <w:bCs/>
          <w:u w:val="single"/>
          <w:rtl/>
        </w:rPr>
      </w:pPr>
    </w:p>
    <w:p w14:paraId="44D0BBE7" w14:textId="77777777" w:rsidR="00A47541" w:rsidRDefault="00A47541" w:rsidP="00A47541">
      <w:pPr>
        <w:ind w:left="-154" w:right="-360"/>
        <w:rPr>
          <w:rFonts w:cs="David"/>
          <w:b/>
          <w:bCs/>
          <w:sz w:val="24"/>
          <w:szCs w:val="24"/>
          <w:u w:val="single"/>
          <w:rtl/>
        </w:rPr>
      </w:pPr>
      <w:r>
        <w:rPr>
          <w:rFonts w:cs="David" w:hint="cs"/>
          <w:b/>
          <w:bCs/>
          <w:sz w:val="24"/>
          <w:szCs w:val="24"/>
          <w:u w:val="single"/>
          <w:rtl/>
        </w:rPr>
        <w:t>יוצהר כדלקמן:</w:t>
      </w:r>
    </w:p>
    <w:p w14:paraId="16C56004" w14:textId="77777777" w:rsidR="00A47541" w:rsidRPr="002E097A" w:rsidRDefault="00A47541" w:rsidP="00A47541">
      <w:pPr>
        <w:ind w:left="-154" w:right="-360"/>
        <w:jc w:val="both"/>
        <w:rPr>
          <w:rFonts w:cs="David"/>
          <w:sz w:val="12"/>
          <w:szCs w:val="12"/>
          <w:rtl/>
        </w:rPr>
      </w:pPr>
    </w:p>
    <w:p w14:paraId="2D013DCA" w14:textId="77777777" w:rsidR="00A47541" w:rsidRPr="00A47541" w:rsidRDefault="00A47541" w:rsidP="00A47541">
      <w:pPr>
        <w:numPr>
          <w:ilvl w:val="0"/>
          <w:numId w:val="1"/>
        </w:numPr>
        <w:tabs>
          <w:tab w:val="clear" w:pos="720"/>
          <w:tab w:val="num" w:pos="-334"/>
        </w:tabs>
        <w:ind w:left="-334" w:right="-720" w:hanging="180"/>
        <w:jc w:val="both"/>
        <w:rPr>
          <w:rFonts w:cs="David"/>
        </w:rPr>
      </w:pPr>
      <w:r w:rsidRPr="00A47541">
        <w:rPr>
          <w:rFonts w:cs="David" w:hint="cs"/>
          <w:rtl/>
        </w:rPr>
        <w:t>הלקוח מודע לכך, שעוה"ד יטפל  ב ________________________________________</w:t>
      </w:r>
      <w:r>
        <w:rPr>
          <w:rFonts w:cs="David" w:hint="cs"/>
          <w:rtl/>
        </w:rPr>
        <w:t>________________</w:t>
      </w:r>
      <w:r w:rsidRPr="00A47541">
        <w:rPr>
          <w:rFonts w:cs="David" w:hint="cs"/>
          <w:rtl/>
        </w:rPr>
        <w:t>_____________.</w:t>
      </w:r>
    </w:p>
    <w:p w14:paraId="23AC3B09" w14:textId="77777777" w:rsidR="00A47541" w:rsidRPr="00A47541" w:rsidRDefault="00A47541" w:rsidP="00A01CF0">
      <w:pPr>
        <w:numPr>
          <w:ilvl w:val="0"/>
          <w:numId w:val="1"/>
        </w:numPr>
        <w:tabs>
          <w:tab w:val="clear" w:pos="720"/>
          <w:tab w:val="num" w:pos="-334"/>
        </w:tabs>
        <w:ind w:left="-334" w:right="-720" w:hanging="180"/>
        <w:jc w:val="both"/>
        <w:rPr>
          <w:rFonts w:cs="David"/>
          <w:rtl/>
        </w:rPr>
      </w:pPr>
      <w:r w:rsidRPr="00A47541">
        <w:rPr>
          <w:rFonts w:cs="David" w:hint="cs"/>
          <w:rtl/>
        </w:rPr>
        <w:t>הלקוח מבין, כי שכה"ט הבסיסי יעמוד ע"ס השווה בשקלים ל</w:t>
      </w:r>
      <w:r>
        <w:rPr>
          <w:rFonts w:cs="David" w:hint="cs"/>
          <w:rtl/>
        </w:rPr>
        <w:t>-__________________</w:t>
      </w:r>
      <w:r w:rsidRPr="00A47541">
        <w:rPr>
          <w:rFonts w:cs="David" w:hint="cs"/>
          <w:rtl/>
        </w:rPr>
        <w:t xml:space="preserve"> </w:t>
      </w:r>
      <w:r w:rsidR="00A01CF0">
        <w:rPr>
          <w:rFonts w:cs="David" w:hint="cs"/>
          <w:b/>
          <w:bCs/>
          <w:rtl/>
        </w:rPr>
        <w:t>בצירוף</w:t>
      </w:r>
      <w:r>
        <w:rPr>
          <w:rFonts w:cs="David" w:hint="cs"/>
          <w:b/>
          <w:bCs/>
          <w:rtl/>
        </w:rPr>
        <w:t xml:space="preserve"> </w:t>
      </w:r>
      <w:r w:rsidRPr="00A47541">
        <w:rPr>
          <w:rFonts w:cs="David" w:hint="cs"/>
          <w:b/>
          <w:bCs/>
          <w:rtl/>
        </w:rPr>
        <w:t>מע"מ</w:t>
      </w:r>
      <w:r w:rsidRPr="00A47541">
        <w:rPr>
          <w:rFonts w:cs="David" w:hint="cs"/>
          <w:rtl/>
        </w:rPr>
        <w:t>.</w:t>
      </w:r>
      <w:r>
        <w:rPr>
          <w:rFonts w:cs="David" w:hint="cs"/>
          <w:rtl/>
        </w:rPr>
        <w:t xml:space="preserve"> </w:t>
      </w:r>
      <w:r w:rsidRPr="00A47541">
        <w:rPr>
          <w:rFonts w:cs="David" w:hint="cs"/>
          <w:rtl/>
        </w:rPr>
        <w:t>ובמילים:</w:t>
      </w:r>
      <w:r>
        <w:rPr>
          <w:rFonts w:cs="David" w:hint="cs"/>
          <w:rtl/>
        </w:rPr>
        <w:t xml:space="preserve"> __________________________________________________________________</w:t>
      </w:r>
      <w:r w:rsidRPr="00A47541">
        <w:rPr>
          <w:rFonts w:cs="David" w:hint="cs"/>
          <w:rtl/>
        </w:rPr>
        <w:t>, אותו הלקוח מתחייב לשלם לעוה"ד (להלן: "שכר הטירחה").</w:t>
      </w:r>
    </w:p>
    <w:p w14:paraId="21619B24"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אי כיבוד שיק או איחור של 7 ימים בתשלום, יגרור התפטרות מן הייצוג, גם בתיק בימ"ש וגם בכל הנוגע לייעוץ, ויופסק כל טיפול בתיק. הלקוח מצהיר כי לא תהיה לו כל טענה בעניין וכי יישא במלוא האחריות לתוצאות האמור לעיל.</w:t>
      </w:r>
    </w:p>
    <w:p w14:paraId="388989DF"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שכר הטרחה אינו כולל טיפול נוסף שלא צוין בהתחייבות זו ואינו כולל ערעורים לערכאה עליונה, ייצוג בועדת שליש ועתירת אסיר, מכתבים וטיפולים שונים, על כל אלה ישולם שכ"ט נפרד ובנוסף לאמור בהתחייבות זו.</w:t>
      </w:r>
    </w:p>
    <w:p w14:paraId="0F7B0908"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שכר הטרחה שהוזכר בסעיף 2, ישולם ע"י הלקוח לעוה"ד גם במקרה של הפסקת הטיפול או ההליכים מכל סיבה שהיא ו/או הגעה להסדר טיעון ע"י עוה"ד שאינו מקובל על הלקוח ועוה"ד אינו מוכן לנהל משפט עד הסוף לפי שיקול דעתו הבלעדי של עוה"ד,  ו/או העברת הטיפול לעו"ד אחר וללקוח לא תהייה זכות לדרוש את שכה"ט, כאמור בסעיף 2, בחזרה.</w:t>
      </w:r>
    </w:p>
    <w:p w14:paraId="7E162349"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 xml:space="preserve">הלקוח מבין, כי לאחר מועד חתימת התחייבות זו, במידה וירצה להחליף ייצוג או לפטר את עוה"ד, לא יהיה זכאי לכל החזר כספי שהוא, לרבות המחאות שטרם הגיע מועד פרעונן, למעט החזר של 10% משכר הטרחה ששולם באם לא נתקיימה ישיבה ראשונה בבית המשפט ובמקרה זה בלבד. (ישיבה </w:t>
      </w:r>
      <w:r>
        <w:rPr>
          <w:rFonts w:cs="David"/>
          <w:rtl/>
        </w:rPr>
        <w:t>–</w:t>
      </w:r>
      <w:r>
        <w:rPr>
          <w:rFonts w:cs="David" w:hint="cs"/>
          <w:rtl/>
        </w:rPr>
        <w:t xml:space="preserve"> כל הופעה של עוה"ד בביהמ"ש כששמו מוזכר בפרוטוקול, אפילו לשם דחייה, וכן פגישה עם רשויות התביעה).</w:t>
      </w:r>
    </w:p>
    <w:p w14:paraId="3254AE3E"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הלקוח מודע לכך, שההתחייבות לתשלום שכר הטרחה היא מסוג התחייבות לתשלום שכר כולל מראש, ואין התשלום מושפע מכמות העבודה אשר בוצעה בפועל, ואין בהסכמת עוה"ד, לדחות קבלת תשלום כל שהוא, משום ויתור על אותו תשלום במידה והטיפול בענינו של הלקוח יסתיים לפני קבלתו.</w:t>
      </w:r>
    </w:p>
    <w:p w14:paraId="75AD4AC6"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הלקוח מצהיר, כי הוסבר לו ו/או למי מטעמו את הסיכון למאסר בתיק ו/או שלא להשתחרר ולהעצר עד לתום ההליכים.</w:t>
      </w:r>
    </w:p>
    <w:p w14:paraId="141A8E5C" w14:textId="77777777" w:rsidR="00A47541" w:rsidRDefault="00A47541" w:rsidP="00A47541">
      <w:pPr>
        <w:numPr>
          <w:ilvl w:val="0"/>
          <w:numId w:val="1"/>
        </w:numPr>
        <w:tabs>
          <w:tab w:val="clear" w:pos="720"/>
          <w:tab w:val="num" w:pos="-334"/>
        </w:tabs>
        <w:ind w:left="-334" w:right="-720" w:hanging="180"/>
        <w:jc w:val="both"/>
        <w:rPr>
          <w:rFonts w:cs="David"/>
        </w:rPr>
      </w:pPr>
      <w:r>
        <w:rPr>
          <w:rFonts w:cs="David" w:hint="cs"/>
          <w:rtl/>
        </w:rPr>
        <w:t>הוסבר ללקוח כי קיימים סיכונים בתיק זה של הטלת מאסר בפועל ממשי ובאם הלקוח לא יסכים לקבל הצעת הסנגור להסדר טיעון, באם יהיה כזה הסדר, והכול לפי שיקול דעתו של הסנגור, יוכל הסנגור להתפטר מהייצוג והלקוח לא יהיה זכאי להחזר שכ"ט.</w:t>
      </w:r>
    </w:p>
    <w:p w14:paraId="59D41FC9" w14:textId="77777777" w:rsidR="00A47541" w:rsidRDefault="00A47541" w:rsidP="00A47541">
      <w:pPr>
        <w:numPr>
          <w:ilvl w:val="0"/>
          <w:numId w:val="1"/>
        </w:numPr>
        <w:tabs>
          <w:tab w:val="clear" w:pos="720"/>
          <w:tab w:val="num" w:pos="-334"/>
        </w:tabs>
        <w:ind w:left="-334" w:right="-720" w:hanging="386"/>
        <w:jc w:val="both"/>
        <w:rPr>
          <w:rFonts w:cs="David"/>
        </w:rPr>
      </w:pPr>
      <w:r>
        <w:rPr>
          <w:rFonts w:cs="David" w:hint="cs"/>
          <w:rtl/>
        </w:rPr>
        <w:t>הלקוח מצהיר ומבין, כי עצם שכירת שירותיו של עוה"ד אינם מבטיחים אי מאסר בפועל ו/או תוצאה ו/או ציפיה לתוצאות המשפט ו/או ההחלטות לשחרור.</w:t>
      </w:r>
    </w:p>
    <w:p w14:paraId="39D43CFC" w14:textId="77777777" w:rsidR="00A47541" w:rsidRPr="00983186" w:rsidRDefault="00A47541" w:rsidP="00A47541">
      <w:pPr>
        <w:numPr>
          <w:ilvl w:val="0"/>
          <w:numId w:val="1"/>
        </w:numPr>
        <w:tabs>
          <w:tab w:val="clear" w:pos="720"/>
          <w:tab w:val="num" w:pos="-334"/>
        </w:tabs>
        <w:ind w:left="-334" w:right="-720" w:hanging="386"/>
        <w:jc w:val="both"/>
        <w:rPr>
          <w:rFonts w:cs="David"/>
          <w:b/>
          <w:bCs/>
        </w:rPr>
      </w:pPr>
      <w:r w:rsidRPr="00983186">
        <w:rPr>
          <w:rFonts w:cs="David" w:hint="cs"/>
          <w:b/>
          <w:bCs/>
          <w:rtl/>
        </w:rPr>
        <w:t>הלקוח מודע לכך, שעוה"ד יהיה רשאי לשלוח עו"ד נציג מטעמו לדיונים, לפי שיקול דעתו הבלעדי והלקוח מביע הסכמתו מראש.</w:t>
      </w:r>
    </w:p>
    <w:p w14:paraId="1E3456A8" w14:textId="77777777" w:rsidR="00A47541" w:rsidRDefault="00A47541" w:rsidP="00A47541">
      <w:pPr>
        <w:numPr>
          <w:ilvl w:val="0"/>
          <w:numId w:val="1"/>
        </w:numPr>
        <w:tabs>
          <w:tab w:val="clear" w:pos="720"/>
          <w:tab w:val="num" w:pos="-334"/>
        </w:tabs>
        <w:ind w:left="-334" w:right="-720" w:hanging="386"/>
        <w:jc w:val="both"/>
        <w:rPr>
          <w:rFonts w:cs="David"/>
        </w:rPr>
      </w:pPr>
      <w:r>
        <w:rPr>
          <w:rFonts w:cs="David" w:hint="cs"/>
          <w:rtl/>
        </w:rPr>
        <w:t>הלקוח מצהיר כי הינו מודע שכל בקשה כאמור חייבת להיות מוגשת לפחות 7 ימי עבודה מראש, שאם לא כן, לא תוגש בקשה כאמור.</w:t>
      </w:r>
    </w:p>
    <w:p w14:paraId="58ED2CF8" w14:textId="77777777" w:rsidR="00A47541" w:rsidRPr="00933A75" w:rsidRDefault="00A47541" w:rsidP="00A47541">
      <w:pPr>
        <w:numPr>
          <w:ilvl w:val="0"/>
          <w:numId w:val="1"/>
        </w:numPr>
        <w:tabs>
          <w:tab w:val="clear" w:pos="720"/>
          <w:tab w:val="num" w:pos="-334"/>
        </w:tabs>
        <w:ind w:left="-334" w:right="-720" w:hanging="386"/>
        <w:jc w:val="both"/>
        <w:rPr>
          <w:rFonts w:cs="David"/>
        </w:rPr>
      </w:pPr>
      <w:r w:rsidRPr="00C354C5">
        <w:rPr>
          <w:rFonts w:ascii="Calibri" w:hAnsi="Calibri" w:cs="David"/>
          <w:noProof w:val="0"/>
          <w:color w:val="000000"/>
          <w:rtl/>
          <w:lang w:eastAsia="en-US"/>
        </w:rPr>
        <w:t>כל חילוקי דע</w:t>
      </w:r>
      <w:r>
        <w:rPr>
          <w:rFonts w:ascii="Calibri" w:hAnsi="Calibri" w:cs="David"/>
          <w:noProof w:val="0"/>
          <w:color w:val="000000"/>
          <w:rtl/>
          <w:lang w:eastAsia="en-US"/>
        </w:rPr>
        <w:t>ות בין הצדדים שיתגלעו בקשר לה</w:t>
      </w:r>
      <w:r>
        <w:rPr>
          <w:rFonts w:ascii="Calibri" w:hAnsi="Calibri" w:cs="David" w:hint="cs"/>
          <w:noProof w:val="0"/>
          <w:color w:val="000000"/>
          <w:rtl/>
          <w:lang w:eastAsia="en-US"/>
        </w:rPr>
        <w:t>תחייבות</w:t>
      </w:r>
      <w:r>
        <w:rPr>
          <w:rFonts w:ascii="Calibri" w:hAnsi="Calibri" w:cs="David"/>
          <w:noProof w:val="0"/>
          <w:color w:val="000000"/>
          <w:rtl/>
          <w:lang w:eastAsia="en-US"/>
        </w:rPr>
        <w:t xml:space="preserve"> ז</w:t>
      </w:r>
      <w:r>
        <w:rPr>
          <w:rFonts w:ascii="Calibri" w:hAnsi="Calibri" w:cs="David" w:hint="cs"/>
          <w:noProof w:val="0"/>
          <w:color w:val="000000"/>
          <w:rtl/>
          <w:lang w:eastAsia="en-US"/>
        </w:rPr>
        <w:t>ו</w:t>
      </w:r>
      <w:r>
        <w:rPr>
          <w:rFonts w:ascii="Calibri" w:hAnsi="Calibri" w:cs="David"/>
          <w:noProof w:val="0"/>
          <w:color w:val="000000"/>
          <w:rtl/>
          <w:lang w:eastAsia="en-US"/>
        </w:rPr>
        <w:t xml:space="preserve"> או לביצוע</w:t>
      </w:r>
      <w:r>
        <w:rPr>
          <w:rFonts w:ascii="Calibri" w:hAnsi="Calibri" w:cs="David" w:hint="cs"/>
          <w:noProof w:val="0"/>
          <w:color w:val="000000"/>
          <w:rtl/>
          <w:lang w:eastAsia="en-US"/>
        </w:rPr>
        <w:t>ה</w:t>
      </w:r>
      <w:r w:rsidRPr="00C354C5">
        <w:rPr>
          <w:rFonts w:ascii="Calibri" w:hAnsi="Calibri" w:cs="David"/>
          <w:noProof w:val="0"/>
          <w:color w:val="000000"/>
          <w:rtl/>
          <w:lang w:eastAsia="en-US"/>
        </w:rPr>
        <w:t xml:space="preserve"> יתבררו בפני בורר אשר ימונה על ידי המוסד לבוררות של לשכת עורכי הדין בישראל.</w:t>
      </w:r>
      <w:r w:rsidRPr="00C354C5">
        <w:rPr>
          <w:rFonts w:cs="David" w:hint="cs"/>
          <w:rtl/>
        </w:rPr>
        <w:t xml:space="preserve"> </w:t>
      </w:r>
      <w:r w:rsidRPr="00C354C5">
        <w:rPr>
          <w:rFonts w:ascii="Calibri" w:hAnsi="Calibri" w:cs="David"/>
          <w:noProof w:val="0"/>
          <w:color w:val="000000"/>
          <w:rtl/>
          <w:lang w:eastAsia="en-US"/>
        </w:rPr>
        <w:t>על הבוררות יחולו הוראות חוק הבוררות, התשכ"ח-1968, התקנות שהותקנו מכוחו וכללי המוסד לבוררות של לשכת עורכי הדין בישראל.</w:t>
      </w:r>
      <w:r>
        <w:rPr>
          <w:rFonts w:ascii="Calibri" w:hAnsi="Calibri" w:cs="David" w:hint="cs"/>
          <w:noProof w:val="0"/>
          <w:color w:val="000000"/>
          <w:rtl/>
          <w:lang w:eastAsia="en-US"/>
        </w:rPr>
        <w:t xml:space="preserve"> </w:t>
      </w:r>
      <w:r w:rsidRPr="00C354C5">
        <w:rPr>
          <w:rFonts w:ascii="Calibri" w:hAnsi="Calibri" w:cs="David"/>
          <w:noProof w:val="0"/>
          <w:color w:val="000000"/>
          <w:rtl/>
          <w:lang w:eastAsia="en-US"/>
        </w:rPr>
        <w:t>פסק הבוררות יהיה ניתן לערעור בפני בורר על פי הוראות סעיף 21א לחוק הבוררות, התשכ"ח-1968, והתוספות לחוק.</w:t>
      </w:r>
    </w:p>
    <w:p w14:paraId="1DE2F9F1" w14:textId="77777777" w:rsidR="00A47541" w:rsidRDefault="00A47541" w:rsidP="00A47541">
      <w:pPr>
        <w:numPr>
          <w:ilvl w:val="0"/>
          <w:numId w:val="1"/>
        </w:numPr>
        <w:tabs>
          <w:tab w:val="clear" w:pos="720"/>
          <w:tab w:val="num" w:pos="-334"/>
        </w:tabs>
        <w:ind w:left="-334" w:right="-720" w:hanging="386"/>
        <w:jc w:val="both"/>
        <w:rPr>
          <w:rFonts w:cs="David"/>
        </w:rPr>
      </w:pPr>
      <w:r>
        <w:rPr>
          <w:rFonts w:cs="David" w:hint="cs"/>
          <w:rtl/>
        </w:rPr>
        <w:t>הלקוח מבין, כי התחייבות זו הינה בלתי חוזרת ובלתי ניתנת לביטול.</w:t>
      </w:r>
    </w:p>
    <w:p w14:paraId="279B4FD8" w14:textId="77777777" w:rsidR="00A47541" w:rsidRDefault="00A47541" w:rsidP="00A47541">
      <w:pPr>
        <w:numPr>
          <w:ilvl w:val="0"/>
          <w:numId w:val="1"/>
        </w:numPr>
        <w:tabs>
          <w:tab w:val="clear" w:pos="720"/>
          <w:tab w:val="num" w:pos="-334"/>
        </w:tabs>
        <w:ind w:left="-334" w:right="-720" w:hanging="386"/>
        <w:jc w:val="both"/>
        <w:rPr>
          <w:rFonts w:cs="David"/>
        </w:rPr>
      </w:pPr>
      <w:r>
        <w:rPr>
          <w:rFonts w:cs="David" w:hint="cs"/>
          <w:rtl/>
        </w:rPr>
        <w:t xml:space="preserve">הלקוח מודע לכך שמשרדו של עוה"ד שרון נהרי, סגור או עובד באופן חלקי בתקופת ימי הפגרה ו/או ערבי חג ו/או ימי חול המועד, ובשישי </w:t>
      </w:r>
      <w:r>
        <w:rPr>
          <w:rFonts w:cs="David"/>
          <w:rtl/>
        </w:rPr>
        <w:t>–</w:t>
      </w:r>
      <w:r>
        <w:rPr>
          <w:rFonts w:cs="David" w:hint="cs"/>
          <w:rtl/>
        </w:rPr>
        <w:t xml:space="preserve"> שבת, המשרד סגור. עו"ד שרון נהרי אינו נמצא במשרד במועדים אלו, ומי שיטפל בתיק ו/או יופיע לדיונים, למעט שישי </w:t>
      </w:r>
      <w:r>
        <w:rPr>
          <w:rFonts w:cs="David"/>
          <w:rtl/>
        </w:rPr>
        <w:t>–</w:t>
      </w:r>
      <w:r>
        <w:rPr>
          <w:rFonts w:cs="David" w:hint="cs"/>
          <w:rtl/>
        </w:rPr>
        <w:t xml:space="preserve"> שבת וערבי חג, יהיה עו"ד מטעמו, אם בכלל.</w:t>
      </w:r>
    </w:p>
    <w:p w14:paraId="0C52DB47" w14:textId="77777777" w:rsidR="00A47541" w:rsidRPr="00A47541" w:rsidRDefault="00A47541" w:rsidP="00A47541">
      <w:pPr>
        <w:numPr>
          <w:ilvl w:val="0"/>
          <w:numId w:val="1"/>
        </w:numPr>
        <w:tabs>
          <w:tab w:val="clear" w:pos="720"/>
          <w:tab w:val="num" w:pos="-334"/>
        </w:tabs>
        <w:ind w:left="-334" w:right="-720" w:hanging="386"/>
        <w:rPr>
          <w:rFonts w:cs="David"/>
          <w:b/>
          <w:bCs/>
          <w:u w:val="single"/>
        </w:rPr>
      </w:pPr>
      <w:r>
        <w:rPr>
          <w:rFonts w:cs="David" w:hint="cs"/>
          <w:rtl/>
        </w:rPr>
        <w:t xml:space="preserve">יצוין כי ניתן להתקשר עם משרדנו באמצעות מייל: </w:t>
      </w:r>
      <w:r w:rsidRPr="00A47541">
        <w:rPr>
          <w:rFonts w:cs="David"/>
          <w:b/>
          <w:bCs/>
          <w:u w:val="single"/>
        </w:rPr>
        <w:t xml:space="preserve"> office@</w:t>
      </w:r>
      <w:r w:rsidR="00BA6335">
        <w:rPr>
          <w:rFonts w:cs="David" w:hint="cs"/>
          <w:b/>
          <w:bCs/>
          <w:u w:val="single"/>
        </w:rPr>
        <w:t>XXXXXXX</w:t>
      </w:r>
      <w:r w:rsidRPr="00A47541">
        <w:rPr>
          <w:rFonts w:cs="David"/>
          <w:b/>
          <w:bCs/>
          <w:u w:val="single"/>
        </w:rPr>
        <w:t>.co.il</w:t>
      </w:r>
    </w:p>
    <w:p w14:paraId="61B2E30C" w14:textId="77777777" w:rsidR="00A47541" w:rsidRPr="00A47541" w:rsidRDefault="00A47541" w:rsidP="00A47541">
      <w:pPr>
        <w:numPr>
          <w:ilvl w:val="0"/>
          <w:numId w:val="1"/>
        </w:numPr>
        <w:tabs>
          <w:tab w:val="clear" w:pos="720"/>
          <w:tab w:val="num" w:pos="-334"/>
        </w:tabs>
        <w:ind w:left="-334" w:right="-720" w:hanging="386"/>
        <w:rPr>
          <w:rFonts w:cs="David"/>
        </w:rPr>
      </w:pPr>
      <w:r w:rsidRPr="00891CBB">
        <w:rPr>
          <w:rFonts w:cs="David" w:hint="cs"/>
          <w:rtl/>
        </w:rPr>
        <w:t>תנאים</w:t>
      </w:r>
      <w:r>
        <w:rPr>
          <w:rFonts w:cs="David" w:hint="cs"/>
          <w:rtl/>
        </w:rPr>
        <w:t xml:space="preserve"> </w:t>
      </w:r>
      <w:r w:rsidRPr="00891CBB">
        <w:rPr>
          <w:rFonts w:cs="David" w:hint="cs"/>
          <w:rtl/>
        </w:rPr>
        <w:t>מיוחדים והערות</w:t>
      </w:r>
      <w:r w:rsidRPr="00891CBB">
        <w:rPr>
          <w:rFonts w:cs="David" w:hint="cs"/>
          <w:b/>
          <w:bCs/>
          <w:rtl/>
        </w:rPr>
        <w:t>:____</w:t>
      </w:r>
      <w:r>
        <w:rPr>
          <w:rFonts w:cs="David" w:hint="cs"/>
          <w:b/>
          <w:bCs/>
          <w:rtl/>
        </w:rPr>
        <w:t>_____________________________________________________________________________________________________________________________________________________________________________________________________________________________________</w:t>
      </w:r>
      <w:r w:rsidRPr="00891CBB">
        <w:rPr>
          <w:rFonts w:cs="David" w:hint="cs"/>
          <w:b/>
          <w:bCs/>
          <w:rtl/>
        </w:rPr>
        <w:t>___________________________________________</w:t>
      </w:r>
      <w:r w:rsidRPr="00891CBB">
        <w:rPr>
          <w:rFonts w:cs="David"/>
          <w:b/>
          <w:bCs/>
          <w:rtl/>
        </w:rPr>
        <w:t xml:space="preserve"> </w:t>
      </w:r>
      <w:r w:rsidRPr="00891CBB">
        <w:rPr>
          <w:rFonts w:cs="David"/>
          <w:b/>
          <w:bCs/>
          <w:rtl/>
        </w:rPr>
        <w:br/>
      </w:r>
    </w:p>
    <w:p w14:paraId="26BD1C4D" w14:textId="77777777" w:rsidR="00001D75" w:rsidRDefault="00001D75" w:rsidP="00A47541">
      <w:pPr>
        <w:ind w:left="-334" w:right="720"/>
        <w:rPr>
          <w:rFonts w:cs="David"/>
          <w:b/>
          <w:bCs/>
          <w:u w:val="single"/>
          <w:rtl/>
        </w:rPr>
      </w:pPr>
    </w:p>
    <w:p w14:paraId="3FF380C0" w14:textId="77777777" w:rsidR="00001D75" w:rsidRDefault="00001D75" w:rsidP="00A47541">
      <w:pPr>
        <w:ind w:left="-334" w:right="720"/>
        <w:rPr>
          <w:rFonts w:cs="David"/>
          <w:b/>
          <w:bCs/>
          <w:u w:val="single"/>
          <w:rtl/>
        </w:rPr>
      </w:pPr>
    </w:p>
    <w:p w14:paraId="7B9F2A3A" w14:textId="77777777" w:rsidR="00001D75" w:rsidRDefault="00001D75" w:rsidP="00A47541">
      <w:pPr>
        <w:ind w:left="-334" w:right="720"/>
        <w:rPr>
          <w:rFonts w:cs="David"/>
          <w:b/>
          <w:bCs/>
          <w:u w:val="single"/>
          <w:rtl/>
        </w:rPr>
      </w:pPr>
    </w:p>
    <w:p w14:paraId="2423E32A" w14:textId="77777777" w:rsidR="00001D75" w:rsidRDefault="00001D75" w:rsidP="00A47541">
      <w:pPr>
        <w:ind w:left="-334" w:right="720"/>
        <w:rPr>
          <w:rFonts w:cs="David"/>
          <w:b/>
          <w:bCs/>
          <w:u w:val="single"/>
          <w:rtl/>
        </w:rPr>
      </w:pPr>
    </w:p>
    <w:p w14:paraId="0FCE91E9" w14:textId="77777777" w:rsidR="00A47541" w:rsidRDefault="00A47541" w:rsidP="00A47541">
      <w:pPr>
        <w:ind w:left="-334" w:right="720"/>
        <w:rPr>
          <w:rFonts w:cs="David"/>
          <w:rtl/>
        </w:rPr>
      </w:pPr>
      <w:r w:rsidRPr="00891CBB">
        <w:rPr>
          <w:rFonts w:cs="David" w:hint="cs"/>
          <w:b/>
          <w:bCs/>
          <w:u w:val="single"/>
          <w:rtl/>
        </w:rPr>
        <w:t>לראיה בא על החתום:</w:t>
      </w:r>
      <w:r w:rsidRPr="00891CBB">
        <w:rPr>
          <w:rFonts w:cs="David" w:hint="cs"/>
          <w:rtl/>
        </w:rPr>
        <w:t xml:space="preserve"> </w:t>
      </w:r>
      <w:r w:rsidRPr="00891CBB">
        <w:rPr>
          <w:rFonts w:cs="David" w:hint="cs"/>
          <w:rtl/>
        </w:rPr>
        <w:tab/>
      </w:r>
    </w:p>
    <w:p w14:paraId="02C04E59" w14:textId="77777777" w:rsidR="00A47541" w:rsidRDefault="00A47541" w:rsidP="00A47541">
      <w:pPr>
        <w:ind w:left="-334" w:right="720"/>
        <w:rPr>
          <w:rFonts w:cs="David"/>
          <w:rtl/>
        </w:rPr>
      </w:pPr>
    </w:p>
    <w:p w14:paraId="268A5060" w14:textId="77777777" w:rsidR="00A47541" w:rsidRDefault="00A47541" w:rsidP="00A47541">
      <w:pPr>
        <w:spacing w:line="360" w:lineRule="auto"/>
        <w:ind w:left="-335"/>
        <w:contextualSpacing/>
        <w:rPr>
          <w:rFonts w:cs="David"/>
          <w:rtl/>
        </w:rPr>
      </w:pPr>
      <w:r>
        <w:rPr>
          <w:rFonts w:cs="David" w:hint="cs"/>
          <w:rtl/>
        </w:rPr>
        <w:t xml:space="preserve">                                                                                                                                                           ___________________</w:t>
      </w:r>
    </w:p>
    <w:p w14:paraId="233A3484" w14:textId="77777777" w:rsidR="00A47541" w:rsidRPr="00A47541" w:rsidRDefault="00A47541" w:rsidP="00A47541">
      <w:pPr>
        <w:spacing w:line="360" w:lineRule="auto"/>
        <w:ind w:left="-335"/>
        <w:contextualSpacing/>
        <w:rPr>
          <w:rFonts w:cs="David"/>
          <w:b/>
          <w:bCs/>
          <w:rtl/>
        </w:rPr>
      </w:pPr>
      <w:r w:rsidRPr="00A47541">
        <w:rPr>
          <w:rFonts w:cs="David" w:hint="cs"/>
          <w:b/>
          <w:bCs/>
          <w:rtl/>
        </w:rPr>
        <w:t xml:space="preserve">                                                                                      </w:t>
      </w:r>
      <w:r>
        <w:rPr>
          <w:rFonts w:cs="David" w:hint="cs"/>
          <w:b/>
          <w:bCs/>
          <w:rtl/>
        </w:rPr>
        <w:t xml:space="preserve">                 </w:t>
      </w:r>
      <w:r w:rsidRPr="00A47541">
        <w:rPr>
          <w:rFonts w:cs="David" w:hint="cs"/>
          <w:b/>
          <w:bCs/>
          <w:rtl/>
        </w:rPr>
        <w:t xml:space="preserve">                                                                   הלקוח</w:t>
      </w:r>
    </w:p>
    <w:p w14:paraId="0AFD7AEE" w14:textId="77777777" w:rsidR="002B1B1A" w:rsidRPr="00A47541" w:rsidRDefault="002B1B1A" w:rsidP="00A47541">
      <w:pPr>
        <w:ind w:right="720"/>
        <w:rPr>
          <w:rFonts w:cs="David"/>
        </w:rPr>
      </w:pPr>
    </w:p>
    <w:sectPr w:rsidR="002B1B1A" w:rsidRPr="00A47541" w:rsidSect="002B1B1A">
      <w:headerReference w:type="default" r:id="rId7"/>
      <w:footerReference w:type="default" r:id="rId8"/>
      <w:endnotePr>
        <w:numFmt w:val="lowerLetter"/>
      </w:endnotePr>
      <w:pgSz w:w="11906" w:h="16838"/>
      <w:pgMar w:top="1440" w:right="1646" w:bottom="993" w:left="1800" w:header="720" w:footer="1584" w:gutter="0"/>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1094E" w14:textId="77777777" w:rsidR="009A4F3F" w:rsidRDefault="009A4F3F" w:rsidP="00A47541">
      <w:r>
        <w:separator/>
      </w:r>
    </w:p>
  </w:endnote>
  <w:endnote w:type="continuationSeparator" w:id="0">
    <w:p w14:paraId="0E9E619A" w14:textId="77777777" w:rsidR="009A4F3F" w:rsidRDefault="009A4F3F" w:rsidP="00A47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CBB84" w14:textId="77777777" w:rsidR="002B1B1A" w:rsidRDefault="002B1B1A" w:rsidP="00001D75">
    <w:pPr>
      <w:pStyle w:val="Footer"/>
      <w:rPr>
        <w:rFonts w:cs="David"/>
        <w:sz w:val="14"/>
        <w:szCs w:val="14"/>
        <w:rtl/>
      </w:rPr>
    </w:pPr>
  </w:p>
  <w:p w14:paraId="16C28209" w14:textId="77777777" w:rsidR="002B1B1A" w:rsidRDefault="002B1B1A">
    <w:pPr>
      <w:pStyle w:val="Footer"/>
      <w:rPr>
        <w:rt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0E6DD" w14:textId="77777777" w:rsidR="009A4F3F" w:rsidRDefault="009A4F3F" w:rsidP="00A47541">
      <w:r>
        <w:separator/>
      </w:r>
    </w:p>
  </w:footnote>
  <w:footnote w:type="continuationSeparator" w:id="0">
    <w:p w14:paraId="7ADC01B9" w14:textId="77777777" w:rsidR="009A4F3F" w:rsidRDefault="009A4F3F" w:rsidP="00A47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7E119" w14:textId="77777777" w:rsidR="002B1B1A" w:rsidRDefault="002B1B1A">
    <w:pPr>
      <w:pStyle w:val="Header"/>
      <w:rPr>
        <w:rFonts w:cs="David"/>
        <w:b/>
        <w:bCs/>
        <w:sz w:val="22"/>
        <w:szCs w:val="22"/>
        <w:rtl/>
      </w:rPr>
    </w:pPr>
  </w:p>
  <w:p w14:paraId="3A336E6C" w14:textId="77777777" w:rsidR="002B1B1A" w:rsidRDefault="002B1B1A">
    <w:pPr>
      <w:pStyle w:val="Header"/>
      <w:rPr>
        <w:rFonts w:cs="David"/>
        <w:sz w:val="22"/>
        <w:szCs w:val="22"/>
        <w:rtl/>
      </w:rPr>
    </w:pPr>
    <w:r>
      <w:rPr>
        <w:rFonts w:cs="David" w:hint="cs"/>
        <w:sz w:val="22"/>
        <w:szCs w:val="22"/>
        <w:rtl/>
      </w:rPr>
      <w:t>בס"ד</w:t>
    </w:r>
  </w:p>
  <w:p w14:paraId="6220061D" w14:textId="77777777" w:rsidR="002B1B1A" w:rsidRPr="004725E9" w:rsidRDefault="002B1B1A" w:rsidP="002B1B1A">
    <w:pPr>
      <w:pStyle w:val="Heading3"/>
      <w:rPr>
        <w:sz w:val="28"/>
        <w:szCs w:val="28"/>
        <w:rtl/>
      </w:rPr>
    </w:pPr>
    <w:r>
      <w:rPr>
        <w:rFonts w:hint="cs"/>
        <w:rtl/>
      </w:rPr>
      <w:t xml:space="preserve">התחייבות בלתי חוזרת לתשלום שכר טרחה </w:t>
    </w:r>
    <w:r>
      <w:rPr>
        <w:rtl/>
      </w:rPr>
      <w:t>–</w:t>
    </w:r>
    <w:r>
      <w:rPr>
        <w:rFonts w:hint="cs"/>
        <w:rtl/>
      </w:rPr>
      <w:t xml:space="preserve"> פלילי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777A15"/>
    <w:multiLevelType w:val="hybridMultilevel"/>
    <w:tmpl w:val="F0940FF6"/>
    <w:lvl w:ilvl="0" w:tplc="41DAAEFA">
      <w:start w:val="1"/>
      <w:numFmt w:val="decimal"/>
      <w:lvlText w:val="%1."/>
      <w:lvlJc w:val="left"/>
      <w:pPr>
        <w:tabs>
          <w:tab w:val="num" w:pos="720"/>
        </w:tabs>
        <w:ind w:left="720" w:right="720" w:hanging="360"/>
      </w:pPr>
      <w:rPr>
        <w:rFonts w:hint="cs"/>
        <w:b w:val="0"/>
        <w:bCs w:val="0"/>
      </w:rPr>
    </w:lvl>
    <w:lvl w:ilvl="1" w:tplc="040D0019">
      <w:start w:val="1"/>
      <w:numFmt w:val="lowerLetter"/>
      <w:lvlText w:val="%2."/>
      <w:lvlJc w:val="left"/>
      <w:pPr>
        <w:tabs>
          <w:tab w:val="num" w:pos="1440"/>
        </w:tabs>
        <w:ind w:left="1440" w:right="1440" w:hanging="360"/>
      </w:pPr>
    </w:lvl>
    <w:lvl w:ilvl="2" w:tplc="040D001B" w:tentative="1">
      <w:start w:val="1"/>
      <w:numFmt w:val="lowerRoman"/>
      <w:lvlText w:val="%3."/>
      <w:lvlJc w:val="right"/>
      <w:pPr>
        <w:tabs>
          <w:tab w:val="num" w:pos="2160"/>
        </w:tabs>
        <w:ind w:left="2160" w:right="2160" w:hanging="180"/>
      </w:pPr>
    </w:lvl>
    <w:lvl w:ilvl="3" w:tplc="040D000F" w:tentative="1">
      <w:start w:val="1"/>
      <w:numFmt w:val="decimal"/>
      <w:lvlText w:val="%4."/>
      <w:lvlJc w:val="left"/>
      <w:pPr>
        <w:tabs>
          <w:tab w:val="num" w:pos="2880"/>
        </w:tabs>
        <w:ind w:left="2880" w:right="2880" w:hanging="360"/>
      </w:pPr>
    </w:lvl>
    <w:lvl w:ilvl="4" w:tplc="040D0019" w:tentative="1">
      <w:start w:val="1"/>
      <w:numFmt w:val="lowerLetter"/>
      <w:lvlText w:val="%5."/>
      <w:lvlJc w:val="left"/>
      <w:pPr>
        <w:tabs>
          <w:tab w:val="num" w:pos="3600"/>
        </w:tabs>
        <w:ind w:left="3600" w:right="3600" w:hanging="360"/>
      </w:pPr>
    </w:lvl>
    <w:lvl w:ilvl="5" w:tplc="040D001B" w:tentative="1">
      <w:start w:val="1"/>
      <w:numFmt w:val="lowerRoman"/>
      <w:lvlText w:val="%6."/>
      <w:lvlJc w:val="right"/>
      <w:pPr>
        <w:tabs>
          <w:tab w:val="num" w:pos="4320"/>
        </w:tabs>
        <w:ind w:left="4320" w:right="4320" w:hanging="180"/>
      </w:pPr>
    </w:lvl>
    <w:lvl w:ilvl="6" w:tplc="040D000F" w:tentative="1">
      <w:start w:val="1"/>
      <w:numFmt w:val="decimal"/>
      <w:lvlText w:val="%7."/>
      <w:lvlJc w:val="left"/>
      <w:pPr>
        <w:tabs>
          <w:tab w:val="num" w:pos="5040"/>
        </w:tabs>
        <w:ind w:left="5040" w:right="5040" w:hanging="360"/>
      </w:pPr>
    </w:lvl>
    <w:lvl w:ilvl="7" w:tplc="040D0019" w:tentative="1">
      <w:start w:val="1"/>
      <w:numFmt w:val="lowerLetter"/>
      <w:lvlText w:val="%8."/>
      <w:lvlJc w:val="left"/>
      <w:pPr>
        <w:tabs>
          <w:tab w:val="num" w:pos="5760"/>
        </w:tabs>
        <w:ind w:left="5760" w:right="5760" w:hanging="360"/>
      </w:pPr>
    </w:lvl>
    <w:lvl w:ilvl="8" w:tplc="040D001B" w:tentative="1">
      <w:start w:val="1"/>
      <w:numFmt w:val="lowerRoman"/>
      <w:lvlText w:val="%9."/>
      <w:lvlJc w:val="right"/>
      <w:pPr>
        <w:tabs>
          <w:tab w:val="num" w:pos="6480"/>
        </w:tabs>
        <w:ind w:left="6480" w:right="6480" w:hanging="180"/>
      </w:pPr>
    </w:lvl>
  </w:abstractNum>
  <w:num w:numId="1" w16cid:durableId="1443265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A47541"/>
    <w:rsid w:val="00001D75"/>
    <w:rsid w:val="0005089B"/>
    <w:rsid w:val="001E4973"/>
    <w:rsid w:val="002B1B1A"/>
    <w:rsid w:val="005F7AA9"/>
    <w:rsid w:val="0066095D"/>
    <w:rsid w:val="007F16E1"/>
    <w:rsid w:val="00981027"/>
    <w:rsid w:val="009A4F3F"/>
    <w:rsid w:val="009C057A"/>
    <w:rsid w:val="00A01CF0"/>
    <w:rsid w:val="00A141F1"/>
    <w:rsid w:val="00A47541"/>
    <w:rsid w:val="00BA6335"/>
    <w:rsid w:val="00CB22E3"/>
    <w:rsid w:val="00EF2B92"/>
    <w:rsid w:val="00F6414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91CED"/>
  <w15:docId w15:val="{16D0E8F8-EDF1-4F0A-A8A8-D6E3A226F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7541"/>
    <w:pPr>
      <w:bidi/>
      <w:spacing w:after="0" w:line="240" w:lineRule="auto"/>
    </w:pPr>
    <w:rPr>
      <w:rFonts w:ascii="Times New Roman" w:eastAsia="Times New Roman" w:hAnsi="Times New Roman" w:cs="Miriam"/>
      <w:noProof/>
      <w:sz w:val="20"/>
      <w:szCs w:val="20"/>
      <w:lang w:eastAsia="he-IL"/>
    </w:rPr>
  </w:style>
  <w:style w:type="paragraph" w:styleId="Heading3">
    <w:name w:val="heading 3"/>
    <w:basedOn w:val="Normal"/>
    <w:next w:val="Normal"/>
    <w:link w:val="Heading3Char"/>
    <w:qFormat/>
    <w:rsid w:val="00A47541"/>
    <w:pPr>
      <w:keepNext/>
      <w:jc w:val="center"/>
      <w:outlineLvl w:val="2"/>
    </w:pPr>
    <w:rPr>
      <w:rFonts w:cs="David"/>
      <w:b/>
      <w:bCs/>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47541"/>
    <w:rPr>
      <w:rFonts w:ascii="Times New Roman" w:eastAsia="Times New Roman" w:hAnsi="Times New Roman" w:cs="David"/>
      <w:b/>
      <w:bCs/>
      <w:noProof/>
      <w:sz w:val="32"/>
      <w:szCs w:val="32"/>
      <w:u w:val="single"/>
      <w:lang w:eastAsia="he-IL"/>
    </w:rPr>
  </w:style>
  <w:style w:type="paragraph" w:styleId="Header">
    <w:name w:val="header"/>
    <w:basedOn w:val="Normal"/>
    <w:link w:val="HeaderChar"/>
    <w:rsid w:val="00A47541"/>
    <w:pPr>
      <w:tabs>
        <w:tab w:val="center" w:pos="4153"/>
        <w:tab w:val="right" w:pos="8306"/>
      </w:tabs>
    </w:pPr>
  </w:style>
  <w:style w:type="character" w:customStyle="1" w:styleId="HeaderChar">
    <w:name w:val="Header Char"/>
    <w:basedOn w:val="DefaultParagraphFont"/>
    <w:link w:val="Header"/>
    <w:rsid w:val="00A47541"/>
    <w:rPr>
      <w:rFonts w:ascii="Times New Roman" w:eastAsia="Times New Roman" w:hAnsi="Times New Roman" w:cs="Miriam"/>
      <w:noProof/>
      <w:sz w:val="20"/>
      <w:szCs w:val="20"/>
      <w:lang w:eastAsia="he-IL"/>
    </w:rPr>
  </w:style>
  <w:style w:type="paragraph" w:styleId="Footer">
    <w:name w:val="footer"/>
    <w:basedOn w:val="Normal"/>
    <w:link w:val="FooterChar"/>
    <w:rsid w:val="00A47541"/>
    <w:pPr>
      <w:tabs>
        <w:tab w:val="center" w:pos="4153"/>
        <w:tab w:val="right" w:pos="8306"/>
      </w:tabs>
    </w:pPr>
  </w:style>
  <w:style w:type="character" w:customStyle="1" w:styleId="FooterChar">
    <w:name w:val="Footer Char"/>
    <w:basedOn w:val="DefaultParagraphFont"/>
    <w:link w:val="Footer"/>
    <w:rsid w:val="00A47541"/>
    <w:rPr>
      <w:rFonts w:ascii="Times New Roman" w:eastAsia="Times New Roman" w:hAnsi="Times New Roman" w:cs="Miriam"/>
      <w:noProof/>
      <w:sz w:val="20"/>
      <w:szCs w:val="20"/>
      <w:lang w:eastAsia="he-IL"/>
    </w:rPr>
  </w:style>
  <w:style w:type="character" w:styleId="Hyperlink">
    <w:name w:val="Hyperlink"/>
    <w:rsid w:val="00A475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710</Words>
  <Characters>3554</Characters>
  <Application>Microsoft Office Word</Application>
  <DocSecurity>0</DocSecurity>
  <Lines>29</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6</cp:revision>
  <cp:lastPrinted>2018-07-15T09:52:00Z</cp:lastPrinted>
  <dcterms:created xsi:type="dcterms:W3CDTF">2017-04-09T12:47:00Z</dcterms:created>
  <dcterms:modified xsi:type="dcterms:W3CDTF">2025-03-11T08:31:00Z</dcterms:modified>
</cp:coreProperties>
</file>