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601CF8" w14:textId="77777777" w:rsidR="00AC1734" w:rsidRDefault="00AC1734" w:rsidP="00AC1734">
      <w:pPr>
        <w:shd w:val="clear" w:color="auto" w:fill="FFFFFF"/>
        <w:spacing w:after="0" w:line="240" w:lineRule="auto"/>
        <w:jc w:val="right"/>
        <w:rPr>
          <w:rFonts w:ascii="David" w:eastAsia="Times New Roman" w:hAnsi="David" w:cs="David"/>
          <w:color w:val="000000"/>
          <w:sz w:val="28"/>
          <w:szCs w:val="28"/>
          <w:rtl/>
        </w:rPr>
      </w:pPr>
      <w:r>
        <w:rPr>
          <w:rFonts w:ascii="David" w:eastAsia="Times New Roman" w:hAnsi="David" w:cs="David" w:hint="cs"/>
          <w:color w:val="000000"/>
          <w:sz w:val="28"/>
          <w:szCs w:val="28"/>
          <w:rtl/>
        </w:rPr>
        <w:t>תאריך: _______</w:t>
      </w:r>
    </w:p>
    <w:p w14:paraId="25445B65" w14:textId="77777777" w:rsidR="00AC1734" w:rsidRDefault="00AC1734" w:rsidP="00AC1734">
      <w:pPr>
        <w:shd w:val="clear" w:color="auto" w:fill="FFFFFF"/>
        <w:spacing w:after="0" w:line="240" w:lineRule="auto"/>
        <w:jc w:val="center"/>
        <w:rPr>
          <w:rFonts w:ascii="David" w:eastAsia="Times New Roman" w:hAnsi="David" w:cs="David"/>
          <w:color w:val="000000"/>
          <w:sz w:val="28"/>
          <w:szCs w:val="28"/>
          <w:rtl/>
        </w:rPr>
      </w:pPr>
    </w:p>
    <w:p w14:paraId="4A72EA90" w14:textId="77777777" w:rsidR="00AC1734" w:rsidRPr="00AC1734" w:rsidRDefault="00AC1734" w:rsidP="00AC1734">
      <w:pPr>
        <w:shd w:val="clear" w:color="auto" w:fill="FFFFFF"/>
        <w:spacing w:after="0" w:line="240" w:lineRule="auto"/>
        <w:jc w:val="center"/>
        <w:rPr>
          <w:rFonts w:ascii="Calibri" w:eastAsia="Times New Roman" w:hAnsi="Calibri" w:cs="Calibri"/>
          <w:color w:val="500050"/>
          <w:sz w:val="24"/>
          <w:szCs w:val="24"/>
        </w:rPr>
      </w:pPr>
      <w:r w:rsidRPr="00AC1734">
        <w:rPr>
          <w:rFonts w:ascii="David" w:eastAsia="Times New Roman" w:hAnsi="David" w:cs="David"/>
          <w:color w:val="000000"/>
          <w:sz w:val="28"/>
          <w:szCs w:val="28"/>
          <w:rtl/>
        </w:rPr>
        <w:t>הנדון: </w:t>
      </w:r>
      <w:r w:rsidRPr="00AC1734">
        <w:rPr>
          <w:rFonts w:ascii="David" w:eastAsia="Times New Roman" w:hAnsi="David" w:cs="David"/>
          <w:b/>
          <w:bCs/>
          <w:color w:val="000000"/>
          <w:sz w:val="36"/>
          <w:szCs w:val="36"/>
          <w:u w:val="single"/>
          <w:rtl/>
        </w:rPr>
        <w:t xml:space="preserve">פש"ר (השלום/המחוזי _____) </w:t>
      </w:r>
      <w:r w:rsidRPr="00AC1734">
        <w:rPr>
          <w:rFonts w:ascii="David" w:eastAsia="Times New Roman" w:hAnsi="David" w:cs="David"/>
          <w:b/>
          <w:bCs/>
          <w:color w:val="000000"/>
          <w:sz w:val="36"/>
          <w:szCs w:val="36"/>
          <w:u w:val="single"/>
        </w:rPr>
        <w:t>XXXX-XX-XX</w:t>
      </w:r>
      <w:r w:rsidRPr="00AC1734">
        <w:rPr>
          <w:rFonts w:ascii="David" w:eastAsia="Times New Roman" w:hAnsi="David" w:cs="David"/>
          <w:b/>
          <w:bCs/>
          <w:color w:val="000000"/>
          <w:sz w:val="36"/>
          <w:szCs w:val="36"/>
          <w:u w:val="single"/>
          <w:rtl/>
        </w:rPr>
        <w:t xml:space="preserve"> ________ נ' כונס הנכסים הרשמי </w:t>
      </w:r>
    </w:p>
    <w:p w14:paraId="359D6AFC" w14:textId="77777777" w:rsidR="00AC1734" w:rsidRPr="00AC1734" w:rsidRDefault="00AC1734" w:rsidP="00AC1734">
      <w:pPr>
        <w:shd w:val="clear" w:color="auto" w:fill="FFFFFF"/>
        <w:spacing w:after="0" w:line="240" w:lineRule="auto"/>
        <w:jc w:val="both"/>
        <w:rPr>
          <w:rFonts w:ascii="Calibri" w:eastAsia="Times New Roman" w:hAnsi="Calibri" w:cs="Calibri"/>
          <w:color w:val="500050"/>
          <w:sz w:val="24"/>
          <w:szCs w:val="24"/>
          <w:rtl/>
        </w:rPr>
      </w:pPr>
      <w:r w:rsidRPr="00AC1734">
        <w:rPr>
          <w:rFonts w:ascii="David" w:eastAsia="Times New Roman" w:hAnsi="David" w:cs="David"/>
          <w:color w:val="000000"/>
          <w:sz w:val="28"/>
          <w:szCs w:val="28"/>
          <w:rtl/>
        </w:rPr>
        <w:t> </w:t>
      </w:r>
    </w:p>
    <w:p w14:paraId="731E02C3" w14:textId="77777777" w:rsidR="00AC1734" w:rsidRPr="00AC1734" w:rsidRDefault="00AC1734" w:rsidP="00AC1734">
      <w:pPr>
        <w:shd w:val="clear" w:color="auto" w:fill="FFFFFF"/>
        <w:spacing w:after="240" w:line="240" w:lineRule="auto"/>
        <w:jc w:val="both"/>
        <w:rPr>
          <w:rFonts w:ascii="Calibri" w:eastAsia="Times New Roman" w:hAnsi="Calibri" w:cs="Calibri"/>
          <w:color w:val="500050"/>
          <w:sz w:val="24"/>
          <w:szCs w:val="24"/>
          <w:rtl/>
        </w:rPr>
      </w:pPr>
      <w:r w:rsidRPr="00AC1734">
        <w:rPr>
          <w:rFonts w:ascii="David" w:eastAsia="Times New Roman" w:hAnsi="David" w:cs="David"/>
          <w:color w:val="000000"/>
          <w:sz w:val="28"/>
          <w:szCs w:val="28"/>
          <w:rtl/>
        </w:rPr>
        <w:t>בשם מרשי, מר __________ ת.ז ___________ (בצו פתיחת הליכים) (להלן: "</w:t>
      </w:r>
      <w:r w:rsidRPr="00AC1734">
        <w:rPr>
          <w:rFonts w:ascii="David" w:eastAsia="Times New Roman" w:hAnsi="David" w:cs="David"/>
          <w:b/>
          <w:bCs/>
          <w:color w:val="000000"/>
          <w:sz w:val="28"/>
          <w:szCs w:val="28"/>
          <w:rtl/>
        </w:rPr>
        <w:t>מרשי</w:t>
      </w:r>
      <w:r w:rsidRPr="00AC1734">
        <w:rPr>
          <w:rFonts w:ascii="David" w:eastAsia="Times New Roman" w:hAnsi="David" w:cs="David"/>
          <w:color w:val="000000"/>
          <w:sz w:val="28"/>
          <w:szCs w:val="28"/>
          <w:rtl/>
        </w:rPr>
        <w:t>"), הנני מתכבדת לפנות אליך בדברים כדלהלן:</w:t>
      </w:r>
    </w:p>
    <w:p w14:paraId="615CDC0A" w14:textId="77777777" w:rsidR="00AC1734" w:rsidRPr="00AC1734" w:rsidRDefault="00AC1734" w:rsidP="00AC1734">
      <w:pPr>
        <w:shd w:val="clear" w:color="auto" w:fill="FFFFFF"/>
        <w:spacing w:after="240" w:line="240" w:lineRule="auto"/>
        <w:ind w:left="720"/>
        <w:jc w:val="both"/>
        <w:rPr>
          <w:rFonts w:ascii="Calibri" w:eastAsia="Times New Roman" w:hAnsi="Calibri" w:cs="Calibri"/>
          <w:color w:val="222222"/>
          <w:sz w:val="24"/>
          <w:szCs w:val="24"/>
          <w:rtl/>
        </w:rPr>
      </w:pPr>
      <w:r w:rsidRPr="00AC1734">
        <w:rPr>
          <w:rFonts w:ascii="David" w:eastAsia="Times New Roman" w:hAnsi="David" w:cs="David"/>
          <w:color w:val="000000"/>
          <w:sz w:val="28"/>
          <w:szCs w:val="28"/>
          <w:rtl/>
        </w:rPr>
        <w:t>1.</w:t>
      </w:r>
      <w:r w:rsidRPr="00AC1734">
        <w:rPr>
          <w:rFonts w:ascii="Times New Roman" w:eastAsia="Times New Roman" w:hAnsi="Times New Roman" w:cs="Times New Roman"/>
          <w:color w:val="000000"/>
          <w:sz w:val="14"/>
          <w:szCs w:val="14"/>
          <w:rtl/>
        </w:rPr>
        <w:t>      </w:t>
      </w:r>
      <w:r w:rsidRPr="00AC1734">
        <w:rPr>
          <w:rFonts w:ascii="David" w:eastAsia="Times New Roman" w:hAnsi="David" w:cs="David"/>
          <w:color w:val="000000"/>
          <w:sz w:val="28"/>
          <w:szCs w:val="28"/>
          <w:rtl/>
        </w:rPr>
        <w:t>כידוע, מרשי מצוי תחת ציפורני ההליך מאז 00.00.2015, עת ניתן כנגדו צו לכינוס נכסיו.</w:t>
      </w:r>
    </w:p>
    <w:p w14:paraId="4272465F" w14:textId="77777777" w:rsidR="00AC1734" w:rsidRPr="00AC1734" w:rsidRDefault="00AC1734" w:rsidP="00AC1734">
      <w:pPr>
        <w:shd w:val="clear" w:color="auto" w:fill="FFFFFF"/>
        <w:spacing w:after="240" w:line="240" w:lineRule="auto"/>
        <w:ind w:left="720"/>
        <w:jc w:val="both"/>
        <w:rPr>
          <w:rFonts w:ascii="Calibri" w:eastAsia="Times New Roman" w:hAnsi="Calibri" w:cs="Calibri"/>
          <w:color w:val="500050"/>
          <w:sz w:val="24"/>
          <w:szCs w:val="24"/>
          <w:rtl/>
        </w:rPr>
      </w:pPr>
      <w:r w:rsidRPr="00AC1734">
        <w:rPr>
          <w:rFonts w:ascii="David" w:eastAsia="Times New Roman" w:hAnsi="David" w:cs="David"/>
          <w:color w:val="000000"/>
          <w:sz w:val="28"/>
          <w:szCs w:val="28"/>
          <w:rtl/>
        </w:rPr>
        <w:t>2.</w:t>
      </w:r>
      <w:r w:rsidRPr="00AC1734">
        <w:rPr>
          <w:rFonts w:ascii="Times New Roman" w:eastAsia="Times New Roman" w:hAnsi="Times New Roman" w:cs="Times New Roman"/>
          <w:color w:val="000000"/>
          <w:sz w:val="14"/>
          <w:szCs w:val="14"/>
          <w:rtl/>
        </w:rPr>
        <w:t>      </w:t>
      </w:r>
      <w:r w:rsidRPr="00AC1734">
        <w:rPr>
          <w:rFonts w:ascii="David" w:eastAsia="Times New Roman" w:hAnsi="David" w:cs="David"/>
          <w:color w:val="000000"/>
          <w:sz w:val="28"/>
          <w:szCs w:val="28"/>
          <w:rtl/>
        </w:rPr>
        <w:t>בזמן הרב שחלף מאז ועד היום, מרשי עשה מעל ומעבר כדי לסייע בידך לממש נכס מקרקעין אשר היה ברשותו, וכן דאג למלא אחר הוראות צו הכינוס. זה מכבר מרשי סילק כל פיגור בהגשת דו"חות חודשיים.</w:t>
      </w:r>
    </w:p>
    <w:p w14:paraId="35028314" w14:textId="77777777" w:rsidR="00AC1734" w:rsidRPr="00AC1734" w:rsidRDefault="00AC1734" w:rsidP="00AC1734">
      <w:pPr>
        <w:shd w:val="clear" w:color="auto" w:fill="FFFFFF"/>
        <w:spacing w:after="240" w:line="240" w:lineRule="auto"/>
        <w:ind w:left="720"/>
        <w:jc w:val="both"/>
        <w:rPr>
          <w:rFonts w:ascii="Calibri" w:eastAsia="Times New Roman" w:hAnsi="Calibri" w:cs="Calibri"/>
          <w:color w:val="500050"/>
          <w:sz w:val="24"/>
          <w:szCs w:val="24"/>
          <w:rtl/>
        </w:rPr>
      </w:pPr>
      <w:r w:rsidRPr="00AC1734">
        <w:rPr>
          <w:rFonts w:ascii="David" w:eastAsia="Times New Roman" w:hAnsi="David" w:cs="David"/>
          <w:color w:val="000000"/>
          <w:sz w:val="28"/>
          <w:szCs w:val="28"/>
          <w:rtl/>
        </w:rPr>
        <w:t>3.</w:t>
      </w:r>
      <w:r w:rsidRPr="00AC1734">
        <w:rPr>
          <w:rFonts w:ascii="Times New Roman" w:eastAsia="Times New Roman" w:hAnsi="Times New Roman" w:cs="Times New Roman"/>
          <w:color w:val="000000"/>
          <w:sz w:val="14"/>
          <w:szCs w:val="14"/>
          <w:rtl/>
        </w:rPr>
        <w:t>      </w:t>
      </w:r>
      <w:r w:rsidRPr="00AC1734">
        <w:rPr>
          <w:rFonts w:ascii="David" w:eastAsia="Times New Roman" w:hAnsi="David" w:cs="David"/>
          <w:color w:val="000000"/>
          <w:sz w:val="28"/>
          <w:szCs w:val="28"/>
          <w:rtl/>
        </w:rPr>
        <w:t>עד כה הצטברו בקופת הכינוס סך של כ- 25 אלף ₪, זאת בנוסף לסך של 280 אלף ₪ אשר הוזרמו לקופה עקב מימוש נכסו של החייב.</w:t>
      </w:r>
    </w:p>
    <w:p w14:paraId="3C6B6491" w14:textId="77777777" w:rsidR="00AC1734" w:rsidRPr="00AC1734" w:rsidRDefault="00AC1734" w:rsidP="00AC1734">
      <w:pPr>
        <w:shd w:val="clear" w:color="auto" w:fill="FFFFFF"/>
        <w:spacing w:after="240" w:line="240" w:lineRule="auto"/>
        <w:ind w:left="720"/>
        <w:jc w:val="both"/>
        <w:rPr>
          <w:rFonts w:ascii="Calibri" w:eastAsia="Times New Roman" w:hAnsi="Calibri" w:cs="Calibri"/>
          <w:color w:val="500050"/>
          <w:sz w:val="24"/>
          <w:szCs w:val="24"/>
          <w:rtl/>
        </w:rPr>
      </w:pPr>
      <w:r w:rsidRPr="00AC1734">
        <w:rPr>
          <w:rFonts w:ascii="David" w:eastAsia="Times New Roman" w:hAnsi="David" w:cs="David"/>
          <w:color w:val="000000"/>
          <w:sz w:val="28"/>
          <w:szCs w:val="28"/>
          <w:rtl/>
        </w:rPr>
        <w:t>4.</w:t>
      </w:r>
      <w:r w:rsidRPr="00AC1734">
        <w:rPr>
          <w:rFonts w:ascii="Times New Roman" w:eastAsia="Times New Roman" w:hAnsi="Times New Roman" w:cs="Times New Roman"/>
          <w:color w:val="000000"/>
          <w:sz w:val="14"/>
          <w:szCs w:val="14"/>
          <w:rtl/>
        </w:rPr>
        <w:t>      </w:t>
      </w:r>
      <w:r w:rsidRPr="00AC1734">
        <w:rPr>
          <w:rFonts w:ascii="David" w:eastAsia="Times New Roman" w:hAnsi="David" w:cs="David"/>
          <w:color w:val="000000"/>
          <w:sz w:val="28"/>
          <w:szCs w:val="28"/>
          <w:rtl/>
        </w:rPr>
        <w:t>תביעות החוב שהוגשו כנגד מרשי הסתכמו בסך של כ- 506 אלף ₪, וככל הידוע לח"מ טרם הוכרע בעניינם. כבר מכך יש להסיק כי בתיק הצטברו סך של 60% ויותר מסך הנשייה בכללה.</w:t>
      </w:r>
    </w:p>
    <w:p w14:paraId="7EFDE165" w14:textId="77777777" w:rsidR="00AC1734" w:rsidRPr="00AC1734" w:rsidRDefault="00AC1734" w:rsidP="00AC1734">
      <w:pPr>
        <w:shd w:val="clear" w:color="auto" w:fill="FFFFFF"/>
        <w:spacing w:after="240" w:line="240" w:lineRule="auto"/>
        <w:ind w:left="720"/>
        <w:jc w:val="both"/>
        <w:rPr>
          <w:rFonts w:ascii="Calibri" w:eastAsia="Times New Roman" w:hAnsi="Calibri" w:cs="Calibri"/>
          <w:color w:val="500050"/>
          <w:sz w:val="24"/>
          <w:szCs w:val="24"/>
          <w:rtl/>
        </w:rPr>
      </w:pPr>
      <w:r w:rsidRPr="00AC1734">
        <w:rPr>
          <w:rFonts w:ascii="David" w:eastAsia="Times New Roman" w:hAnsi="David" w:cs="David"/>
          <w:color w:val="000000"/>
          <w:sz w:val="28"/>
          <w:szCs w:val="28"/>
          <w:rtl/>
        </w:rPr>
        <w:t>5.</w:t>
      </w:r>
      <w:r w:rsidRPr="00AC1734">
        <w:rPr>
          <w:rFonts w:ascii="Times New Roman" w:eastAsia="Times New Roman" w:hAnsi="Times New Roman" w:cs="Times New Roman"/>
          <w:color w:val="000000"/>
          <w:sz w:val="14"/>
          <w:szCs w:val="14"/>
          <w:rtl/>
        </w:rPr>
        <w:t>      </w:t>
      </w:r>
      <w:r w:rsidRPr="00AC1734">
        <w:rPr>
          <w:rFonts w:ascii="David" w:eastAsia="Times New Roman" w:hAnsi="David" w:cs="David"/>
          <w:color w:val="000000"/>
          <w:sz w:val="28"/>
          <w:szCs w:val="28"/>
          <w:rtl/>
        </w:rPr>
        <w:t>החייב סבור כי די בכך כדי להפטירו מחובותיו, ואולם בימים האחרונים פנה לבני משפחתו המורחבת אשר נאותו לעשות מאמץ משפחתי נוסף, אף לפנים משורת הדין, ולהעמיד סך נוסף של 5,000 ₪ לקופת הכינוס, לצורך קבלת הפטר חלוט.</w:t>
      </w:r>
    </w:p>
    <w:p w14:paraId="6CBCCDE9" w14:textId="77777777" w:rsidR="00AC1734" w:rsidRPr="00AC1734" w:rsidRDefault="00AC1734" w:rsidP="00AC1734">
      <w:pPr>
        <w:shd w:val="clear" w:color="auto" w:fill="FFFFFF"/>
        <w:spacing w:after="240" w:line="240" w:lineRule="auto"/>
        <w:ind w:left="720"/>
        <w:jc w:val="both"/>
        <w:rPr>
          <w:rFonts w:ascii="Calibri" w:eastAsia="Times New Roman" w:hAnsi="Calibri" w:cs="Calibri"/>
          <w:color w:val="500050"/>
          <w:sz w:val="24"/>
          <w:szCs w:val="24"/>
          <w:rtl/>
        </w:rPr>
      </w:pPr>
      <w:r w:rsidRPr="00AC1734">
        <w:rPr>
          <w:rFonts w:ascii="David" w:eastAsia="Times New Roman" w:hAnsi="David" w:cs="David"/>
          <w:color w:val="000000"/>
          <w:sz w:val="28"/>
          <w:szCs w:val="28"/>
          <w:rtl/>
        </w:rPr>
        <w:t>6.</w:t>
      </w:r>
      <w:r w:rsidRPr="00AC1734">
        <w:rPr>
          <w:rFonts w:ascii="Times New Roman" w:eastAsia="Times New Roman" w:hAnsi="Times New Roman" w:cs="Times New Roman"/>
          <w:color w:val="000000"/>
          <w:sz w:val="14"/>
          <w:szCs w:val="14"/>
          <w:rtl/>
        </w:rPr>
        <w:t>      </w:t>
      </w:r>
      <w:r w:rsidRPr="00AC1734">
        <w:rPr>
          <w:rFonts w:ascii="David" w:eastAsia="Times New Roman" w:hAnsi="David" w:cs="David"/>
          <w:color w:val="000000"/>
          <w:sz w:val="28"/>
          <w:szCs w:val="28"/>
          <w:rtl/>
        </w:rPr>
        <w:t>מבוקש לראות בסכום שהצטבר בקופה עד עתה, כמו גם הצעתה הכספית של המשפחה ככאלו המתאימים לצורך הסדר נושים כולל, שהרי החייב נותר חסר כל אמצעי נוסף.</w:t>
      </w:r>
    </w:p>
    <w:p w14:paraId="223444FB" w14:textId="77777777" w:rsidR="00AC1734" w:rsidRPr="00AC1734" w:rsidRDefault="00AC1734" w:rsidP="00AC1734">
      <w:pPr>
        <w:shd w:val="clear" w:color="auto" w:fill="FFFFFF"/>
        <w:spacing w:after="240" w:line="240" w:lineRule="auto"/>
        <w:ind w:left="720"/>
        <w:jc w:val="both"/>
        <w:rPr>
          <w:rFonts w:ascii="Calibri" w:eastAsia="Times New Roman" w:hAnsi="Calibri" w:cs="Calibri"/>
          <w:color w:val="500050"/>
          <w:sz w:val="24"/>
          <w:szCs w:val="24"/>
          <w:rtl/>
        </w:rPr>
      </w:pPr>
      <w:r w:rsidRPr="00AC1734">
        <w:rPr>
          <w:rFonts w:ascii="David" w:eastAsia="Times New Roman" w:hAnsi="David" w:cs="David"/>
          <w:color w:val="000000"/>
          <w:sz w:val="28"/>
          <w:szCs w:val="28"/>
          <w:rtl/>
        </w:rPr>
        <w:t>7.</w:t>
      </w:r>
      <w:r w:rsidRPr="00AC1734">
        <w:rPr>
          <w:rFonts w:ascii="Times New Roman" w:eastAsia="Times New Roman" w:hAnsi="Times New Roman" w:cs="Times New Roman"/>
          <w:color w:val="000000"/>
          <w:sz w:val="14"/>
          <w:szCs w:val="14"/>
          <w:rtl/>
        </w:rPr>
        <w:t>      </w:t>
      </w:r>
      <w:r w:rsidRPr="00AC1734">
        <w:rPr>
          <w:rFonts w:ascii="David" w:eastAsia="Times New Roman" w:hAnsi="David" w:cs="David"/>
          <w:color w:val="000000"/>
          <w:sz w:val="28"/>
          <w:szCs w:val="28"/>
          <w:rtl/>
        </w:rPr>
        <w:t>מבוקש כי תפעל לכנס אסיפת נושים בהקדם, במהלכה יתבקשו הנושים לאשר ההסדר המוצע כאן, דבר שיאפשר לחייב לצאת לדרך חדשה בחייו.</w:t>
      </w:r>
    </w:p>
    <w:p w14:paraId="4A4702DC" w14:textId="77777777" w:rsidR="00AC1734" w:rsidRPr="00AC1734" w:rsidRDefault="00AC1734" w:rsidP="00AC1734">
      <w:pPr>
        <w:shd w:val="clear" w:color="auto" w:fill="FFFFFF"/>
        <w:spacing w:after="240" w:line="240" w:lineRule="auto"/>
        <w:ind w:left="720"/>
        <w:jc w:val="both"/>
        <w:rPr>
          <w:rFonts w:ascii="Calibri" w:eastAsia="Times New Roman" w:hAnsi="Calibri" w:cs="Calibri"/>
          <w:color w:val="500050"/>
          <w:sz w:val="24"/>
          <w:szCs w:val="24"/>
          <w:rtl/>
        </w:rPr>
      </w:pPr>
      <w:r w:rsidRPr="00AC1734">
        <w:rPr>
          <w:rFonts w:ascii="David" w:eastAsia="Times New Roman" w:hAnsi="David" w:cs="David"/>
          <w:color w:val="000000"/>
          <w:sz w:val="28"/>
          <w:szCs w:val="28"/>
          <w:rtl/>
        </w:rPr>
        <w:t>8.</w:t>
      </w:r>
      <w:r w:rsidRPr="00AC1734">
        <w:rPr>
          <w:rFonts w:ascii="Times New Roman" w:eastAsia="Times New Roman" w:hAnsi="Times New Roman" w:cs="Times New Roman"/>
          <w:color w:val="000000"/>
          <w:sz w:val="14"/>
          <w:szCs w:val="14"/>
          <w:rtl/>
        </w:rPr>
        <w:t>      </w:t>
      </w:r>
      <w:r w:rsidRPr="00AC1734">
        <w:rPr>
          <w:rFonts w:ascii="David" w:eastAsia="Times New Roman" w:hAnsi="David" w:cs="David"/>
          <w:color w:val="000000"/>
          <w:sz w:val="28"/>
          <w:szCs w:val="28"/>
          <w:rtl/>
        </w:rPr>
        <w:t>אקדים תודה לבחינת ההצעה בחיוב, ולהתייחסות מתאימה על ידך.</w:t>
      </w:r>
    </w:p>
    <w:p w14:paraId="21459C2C" w14:textId="77777777" w:rsidR="00AC1734" w:rsidRDefault="00AC1734" w:rsidP="00AC1734">
      <w:pPr>
        <w:spacing w:after="0" w:line="240" w:lineRule="auto"/>
        <w:rPr>
          <w:rFonts w:ascii="Tahoma" w:eastAsia="Times New Roman" w:hAnsi="Tahoma" w:cs="Tahoma"/>
          <w:color w:val="0000FF"/>
          <w:sz w:val="24"/>
          <w:szCs w:val="24"/>
          <w:shd w:val="clear" w:color="auto" w:fill="FFFFFF"/>
          <w:rtl/>
        </w:rPr>
      </w:pPr>
    </w:p>
    <w:p w14:paraId="06850D31" w14:textId="77777777" w:rsidR="00AC1734" w:rsidRPr="00AC1734" w:rsidRDefault="00AC1734" w:rsidP="00AC1734">
      <w:pPr>
        <w:spacing w:after="0" w:line="240" w:lineRule="auto"/>
        <w:rPr>
          <w:rFonts w:ascii="Tahoma" w:eastAsia="Times New Roman" w:hAnsi="Tahoma" w:cs="Tahoma"/>
          <w:color w:val="0000FF"/>
          <w:sz w:val="24"/>
          <w:szCs w:val="24"/>
          <w:shd w:val="clear" w:color="auto" w:fill="FFFFFF"/>
        </w:rPr>
      </w:pPr>
    </w:p>
    <w:sectPr w:rsidR="00AC1734" w:rsidRPr="00AC1734" w:rsidSect="00C26C0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altName w:val="Arial Narrow"/>
    <w:panose1 w:val="02020603050405020304"/>
    <w:charset w:val="00"/>
    <w:family w:val="roman"/>
    <w:pitch w:val="variable"/>
    <w:sig w:usb0="E0002EFF" w:usb1="C000785B" w:usb2="00000009" w:usb3="00000000" w:csb0="000001FF" w:csb1="00000000"/>
  </w:font>
  <w:font w:name="David">
    <w:altName w:val="Times New Roman"/>
    <w:panose1 w:val="020E0502060401010101"/>
    <w:charset w:val="00"/>
    <w:family w:val="swiss"/>
    <w:pitch w:val="variable"/>
    <w:sig w:usb0="00000803" w:usb1="00000000" w:usb2="00000000" w:usb3="00000000" w:csb0="00000021" w:csb1="00000000"/>
  </w:font>
  <w:font w:name="Tahoma">
    <w:altName w:val="Arial Narrow"/>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3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734"/>
    <w:rsid w:val="007E1E06"/>
    <w:rsid w:val="008F0EE4"/>
    <w:rsid w:val="00AC1734"/>
    <w:rsid w:val="00C26C08"/>
    <w:rsid w:val="00E447F6"/>
    <w:rsid w:val="00ED637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AEAD0"/>
  <w15:chartTrackingRefBased/>
  <w15:docId w15:val="{E04359A8-CA69-421F-A6F7-1A0EA82A3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C1734"/>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4164156">
      <w:bodyDiv w:val="1"/>
      <w:marLeft w:val="0"/>
      <w:marRight w:val="0"/>
      <w:marTop w:val="0"/>
      <w:marBottom w:val="0"/>
      <w:divBdr>
        <w:top w:val="none" w:sz="0" w:space="0" w:color="auto"/>
        <w:left w:val="none" w:sz="0" w:space="0" w:color="auto"/>
        <w:bottom w:val="none" w:sz="0" w:space="0" w:color="auto"/>
        <w:right w:val="none" w:sz="0" w:space="0" w:color="auto"/>
      </w:divBdr>
      <w:divsChild>
        <w:div w:id="2122870589">
          <w:marLeft w:val="0"/>
          <w:marRight w:val="0"/>
          <w:marTop w:val="0"/>
          <w:marBottom w:val="0"/>
          <w:divBdr>
            <w:top w:val="none" w:sz="0" w:space="0" w:color="auto"/>
            <w:left w:val="none" w:sz="0" w:space="0" w:color="auto"/>
            <w:bottom w:val="none" w:sz="0" w:space="0" w:color="auto"/>
            <w:right w:val="none" w:sz="0" w:space="0" w:color="auto"/>
          </w:divBdr>
        </w:div>
        <w:div w:id="645428137">
          <w:marLeft w:val="0"/>
          <w:marRight w:val="0"/>
          <w:marTop w:val="0"/>
          <w:marBottom w:val="0"/>
          <w:divBdr>
            <w:top w:val="none" w:sz="0" w:space="0" w:color="auto"/>
            <w:left w:val="none" w:sz="0" w:space="0" w:color="auto"/>
            <w:bottom w:val="none" w:sz="0" w:space="0" w:color="auto"/>
            <w:right w:val="none" w:sz="0" w:space="0" w:color="auto"/>
          </w:divBdr>
        </w:div>
        <w:div w:id="848981182">
          <w:marLeft w:val="0"/>
          <w:marRight w:val="0"/>
          <w:marTop w:val="0"/>
          <w:marBottom w:val="0"/>
          <w:divBdr>
            <w:top w:val="none" w:sz="0" w:space="0" w:color="auto"/>
            <w:left w:val="none" w:sz="0" w:space="0" w:color="auto"/>
            <w:bottom w:val="none" w:sz="0" w:space="0" w:color="auto"/>
            <w:right w:val="none" w:sz="0" w:space="0" w:color="auto"/>
          </w:divBdr>
        </w:div>
        <w:div w:id="366564344">
          <w:marLeft w:val="0"/>
          <w:marRight w:val="0"/>
          <w:marTop w:val="0"/>
          <w:marBottom w:val="0"/>
          <w:divBdr>
            <w:top w:val="none" w:sz="0" w:space="0" w:color="auto"/>
            <w:left w:val="none" w:sz="0" w:space="0" w:color="auto"/>
            <w:bottom w:val="none" w:sz="0" w:space="0" w:color="auto"/>
            <w:right w:val="none" w:sz="0" w:space="0" w:color="auto"/>
          </w:divBdr>
          <w:divsChild>
            <w:div w:id="2044356539">
              <w:marLeft w:val="0"/>
              <w:marRight w:val="0"/>
              <w:marTop w:val="30"/>
              <w:marBottom w:val="0"/>
              <w:divBdr>
                <w:top w:val="none" w:sz="0" w:space="0" w:color="auto"/>
                <w:left w:val="none" w:sz="0" w:space="0" w:color="auto"/>
                <w:bottom w:val="none" w:sz="0" w:space="0" w:color="auto"/>
                <w:right w:val="none" w:sz="0" w:space="0" w:color="auto"/>
              </w:divBdr>
              <w:divsChild>
                <w:div w:id="1584486596">
                  <w:marLeft w:val="0"/>
                  <w:marRight w:val="0"/>
                  <w:marTop w:val="0"/>
                  <w:marBottom w:val="0"/>
                  <w:divBdr>
                    <w:top w:val="none" w:sz="0" w:space="0" w:color="auto"/>
                    <w:left w:val="none" w:sz="0" w:space="0" w:color="auto"/>
                    <w:bottom w:val="none" w:sz="0" w:space="0" w:color="auto"/>
                    <w:right w:val="none" w:sz="0" w:space="0" w:color="auto"/>
                  </w:divBdr>
                </w:div>
              </w:divsChild>
            </w:div>
            <w:div w:id="63576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221</Words>
  <Characters>1109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פרקטיקל</dc:creator>
  <cp:keywords/>
  <dc:description/>
  <cp:lastModifiedBy>Jasmine Mann Dahan</cp:lastModifiedBy>
  <cp:revision>4</cp:revision>
  <dcterms:created xsi:type="dcterms:W3CDTF">2020-09-02T16:23:00Z</dcterms:created>
  <dcterms:modified xsi:type="dcterms:W3CDTF">2024-06-20T15:27:00Z</dcterms:modified>
</cp:coreProperties>
</file>