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D3DDF9" w14:textId="0887E76D" w:rsidR="00644C59" w:rsidRPr="00DB7AA7" w:rsidRDefault="0013306E" w:rsidP="0013306E">
      <w:pPr>
        <w:pStyle w:val="NoSpacing"/>
        <w:rPr>
          <w:rFonts w:ascii="David" w:hAnsi="David" w:cs="David"/>
          <w:noProof/>
          <w:rtl/>
          <w:lang w:eastAsia="he-IL"/>
        </w:rPr>
      </w:pPr>
      <w:r w:rsidRPr="00DB7AA7">
        <w:rPr>
          <w:rFonts w:ascii="David" w:hAnsi="David" w:cs="David"/>
          <w:b/>
          <w:bCs/>
          <w:noProof/>
          <w:sz w:val="24"/>
          <w:szCs w:val="24"/>
          <w:rtl/>
          <w:lang w:eastAsia="he-IL"/>
        </w:rPr>
        <w:t xml:space="preserve">בית המשפט לענייני משפחה </w:t>
      </w:r>
      <w:r w:rsidRPr="00DB7AA7">
        <w:rPr>
          <w:rFonts w:ascii="David" w:hAnsi="David" w:cs="David"/>
          <w:b/>
          <w:bCs/>
          <w:noProof/>
          <w:sz w:val="24"/>
          <w:szCs w:val="24"/>
          <w:rtl/>
          <w:lang w:eastAsia="he-IL"/>
        </w:rPr>
        <w:tab/>
      </w:r>
      <w:r w:rsidRPr="00DB7AA7">
        <w:rPr>
          <w:rFonts w:ascii="David" w:hAnsi="David" w:cs="David"/>
          <w:noProof/>
          <w:rtl/>
          <w:lang w:eastAsia="he-IL"/>
        </w:rPr>
        <w:tab/>
      </w:r>
      <w:r w:rsidRPr="00DB7AA7">
        <w:rPr>
          <w:rFonts w:ascii="David" w:hAnsi="David" w:cs="David"/>
          <w:noProof/>
          <w:rtl/>
          <w:lang w:eastAsia="he-IL"/>
        </w:rPr>
        <w:tab/>
      </w:r>
      <w:r w:rsidRPr="00DB7AA7">
        <w:rPr>
          <w:rFonts w:ascii="David" w:hAnsi="David" w:cs="David"/>
          <w:noProof/>
          <w:rtl/>
          <w:lang w:eastAsia="he-IL"/>
        </w:rPr>
        <w:tab/>
      </w:r>
      <w:r w:rsidR="00DB7AA7">
        <w:rPr>
          <w:rFonts w:ascii="David" w:hAnsi="David" w:cs="David" w:hint="cs"/>
          <w:noProof/>
          <w:rtl/>
          <w:lang w:eastAsia="he-IL"/>
        </w:rPr>
        <w:t xml:space="preserve">        </w:t>
      </w:r>
      <w:r w:rsidRPr="00DB7AA7">
        <w:rPr>
          <w:rFonts w:ascii="David" w:hAnsi="David" w:cs="David"/>
          <w:noProof/>
          <w:rtl/>
          <w:lang w:eastAsia="he-IL"/>
        </w:rPr>
        <w:t xml:space="preserve">      תמ"ש __________________</w:t>
      </w:r>
    </w:p>
    <w:p w14:paraId="19F77120" w14:textId="62EC44F7" w:rsidR="00644C59" w:rsidRPr="00DB7AA7" w:rsidRDefault="00DB7AA7">
      <w:pPr>
        <w:spacing w:after="0" w:line="240" w:lineRule="auto"/>
        <w:jc w:val="both"/>
        <w:rPr>
          <w:rFonts w:ascii="David" w:eastAsia="Times New Roman" w:hAnsi="David" w:cs="David"/>
          <w:b/>
          <w:bCs/>
          <w:noProof/>
          <w:sz w:val="20"/>
          <w:szCs w:val="24"/>
          <w:rtl/>
          <w:lang w:eastAsia="he-IL"/>
        </w:rPr>
      </w:pPr>
      <w:r w:rsidRPr="00DB7AA7">
        <w:rPr>
          <w:rFonts w:ascii="David" w:eastAsia="Times New Roman" w:hAnsi="David" w:cs="David"/>
          <w:b/>
          <w:bCs/>
          <w:noProof/>
          <w:sz w:val="20"/>
          <w:szCs w:val="24"/>
          <w:u w:val="single"/>
          <w:rtl/>
          <w:lang w:eastAsia="he-IL"/>
        </w:rPr>
        <w:t>בתל אביב</w:t>
      </w:r>
    </w:p>
    <w:p w14:paraId="44BBA008" w14:textId="77777777" w:rsidR="00644C59" w:rsidRPr="00DB7AA7" w:rsidRDefault="00644C59">
      <w:pPr>
        <w:spacing w:after="0" w:line="240" w:lineRule="auto"/>
        <w:jc w:val="both"/>
        <w:rPr>
          <w:rFonts w:ascii="David" w:eastAsia="Times New Roman" w:hAnsi="David" w:cs="David"/>
          <w:b/>
          <w:bCs/>
          <w:noProof/>
          <w:sz w:val="20"/>
          <w:szCs w:val="24"/>
          <w:lang w:eastAsia="he-IL"/>
        </w:rPr>
      </w:pPr>
    </w:p>
    <w:p w14:paraId="45E784ED" w14:textId="73CF79C8" w:rsidR="00DB7AA7" w:rsidRDefault="0013306E" w:rsidP="00DB7AA7">
      <w:pPr>
        <w:spacing w:after="0" w:line="240" w:lineRule="auto"/>
        <w:jc w:val="both"/>
        <w:rPr>
          <w:rFonts w:ascii="David" w:eastAsia="Times New Roman" w:hAnsi="David" w:cs="David"/>
          <w:noProof/>
          <w:sz w:val="20"/>
          <w:szCs w:val="24"/>
          <w:rtl/>
          <w:lang w:eastAsia="he-IL"/>
        </w:rPr>
      </w:pPr>
      <w:r w:rsidRPr="00DB7AA7">
        <w:rPr>
          <w:rFonts w:ascii="David" w:eastAsia="Times New Roman" w:hAnsi="David" w:cs="David"/>
          <w:b/>
          <w:bCs/>
          <w:noProof/>
          <w:sz w:val="20"/>
          <w:szCs w:val="24"/>
          <w:rtl/>
          <w:lang w:eastAsia="he-IL"/>
        </w:rPr>
        <w:t>בעניין:</w:t>
      </w:r>
      <w:r w:rsidRPr="00DB7AA7">
        <w:rPr>
          <w:rFonts w:ascii="David" w:eastAsia="Times New Roman" w:hAnsi="David" w:cs="David"/>
          <w:b/>
          <w:bCs/>
          <w:noProof/>
          <w:sz w:val="20"/>
          <w:szCs w:val="24"/>
          <w:rtl/>
          <w:lang w:eastAsia="he-IL"/>
        </w:rPr>
        <w:tab/>
      </w:r>
      <w:r w:rsidRPr="00DB7AA7">
        <w:rPr>
          <w:rFonts w:ascii="David" w:eastAsia="Times New Roman" w:hAnsi="David" w:cs="David"/>
          <w:noProof/>
          <w:sz w:val="20"/>
          <w:szCs w:val="24"/>
          <w:rtl/>
          <w:lang w:eastAsia="he-IL"/>
        </w:rPr>
        <w:tab/>
      </w:r>
      <w:r w:rsidRPr="00DB7AA7">
        <w:rPr>
          <w:rFonts w:ascii="David" w:eastAsia="Times New Roman" w:hAnsi="David" w:cs="David"/>
          <w:noProof/>
          <w:sz w:val="20"/>
          <w:szCs w:val="24"/>
          <w:rtl/>
          <w:lang w:eastAsia="he-IL"/>
        </w:rPr>
        <w:tab/>
      </w:r>
      <w:r w:rsidR="00DB7AA7">
        <w:rPr>
          <w:rFonts w:ascii="David" w:eastAsia="Times New Roman" w:hAnsi="David" w:cs="David" w:hint="cs"/>
          <w:noProof/>
          <w:sz w:val="20"/>
          <w:szCs w:val="24"/>
          <w:rtl/>
          <w:lang w:eastAsia="he-IL"/>
        </w:rPr>
        <w:t xml:space="preserve"> </w:t>
      </w:r>
      <w:r w:rsidRPr="00DB7AA7">
        <w:rPr>
          <w:rFonts w:ascii="David" w:eastAsia="Times New Roman" w:hAnsi="David" w:cs="David"/>
          <w:b/>
          <w:bCs/>
          <w:noProof/>
          <w:sz w:val="20"/>
          <w:szCs w:val="24"/>
          <w:rtl/>
          <w:lang w:eastAsia="he-IL"/>
        </w:rPr>
        <w:t>1.</w:t>
      </w:r>
      <w:r w:rsidR="00DB7AA7">
        <w:rPr>
          <w:rFonts w:ascii="David" w:hAnsi="David" w:cs="David" w:hint="cs"/>
          <w:b/>
          <w:bCs/>
          <w:sz w:val="24"/>
          <w:szCs w:val="24"/>
          <w:rtl/>
        </w:rPr>
        <w:t xml:space="preserve"> </w:t>
      </w:r>
      <w:r w:rsidR="009F321D">
        <w:rPr>
          <w:rFonts w:ascii="David" w:hAnsi="David" w:cs="David" w:hint="cs"/>
          <w:b/>
          <w:bCs/>
          <w:sz w:val="24"/>
          <w:szCs w:val="24"/>
          <w:rtl/>
        </w:rPr>
        <w:t>___________</w:t>
      </w:r>
      <w:r w:rsidR="00DB7AA7">
        <w:rPr>
          <w:rFonts w:ascii="David" w:hAnsi="David" w:cs="David" w:hint="cs"/>
          <w:b/>
          <w:bCs/>
          <w:sz w:val="24"/>
          <w:szCs w:val="24"/>
          <w:rtl/>
        </w:rPr>
        <w:t xml:space="preserve"> ת.ז. </w:t>
      </w:r>
      <w:r w:rsidR="009F321D">
        <w:rPr>
          <w:rFonts w:ascii="David" w:hAnsi="David" w:cs="David" w:hint="cs"/>
          <w:b/>
          <w:bCs/>
          <w:sz w:val="24"/>
          <w:szCs w:val="24"/>
          <w:rtl/>
        </w:rPr>
        <w:t>________</w:t>
      </w:r>
      <w:r w:rsidRPr="00DB7AA7">
        <w:rPr>
          <w:rFonts w:ascii="David" w:hAnsi="David" w:cs="David"/>
          <w:b/>
          <w:bCs/>
          <w:sz w:val="24"/>
          <w:szCs w:val="24"/>
          <w:rtl/>
        </w:rPr>
        <w:t xml:space="preserve"> </w:t>
      </w:r>
      <w:r w:rsidR="00DB7AA7" w:rsidRPr="00DB7AA7">
        <w:rPr>
          <w:rFonts w:ascii="David" w:hAnsi="David" w:cs="David" w:hint="cs"/>
          <w:b/>
          <w:bCs/>
          <w:sz w:val="24"/>
          <w:szCs w:val="24"/>
          <w:rtl/>
        </w:rPr>
        <w:t>(קטין)</w:t>
      </w:r>
      <w:r w:rsidR="00DB7AA7" w:rsidRPr="00DB7AA7">
        <w:rPr>
          <w:rFonts w:ascii="David" w:eastAsia="Times New Roman" w:hAnsi="David" w:cs="David" w:hint="cs"/>
          <w:noProof/>
          <w:sz w:val="20"/>
          <w:szCs w:val="24"/>
          <w:rtl/>
          <w:lang w:eastAsia="he-IL"/>
        </w:rPr>
        <w:t>.</w:t>
      </w:r>
    </w:p>
    <w:p w14:paraId="6214C634" w14:textId="43FE55C7" w:rsidR="00644C59" w:rsidRPr="00DB7AA7" w:rsidRDefault="00DB7AA7" w:rsidP="00DB7AA7">
      <w:pPr>
        <w:spacing w:after="0" w:line="240" w:lineRule="auto"/>
        <w:jc w:val="both"/>
        <w:rPr>
          <w:rFonts w:ascii="David" w:eastAsia="Times New Roman" w:hAnsi="David" w:cs="David"/>
          <w:noProof/>
          <w:sz w:val="20"/>
          <w:szCs w:val="24"/>
          <w:lang w:eastAsia="he-IL"/>
        </w:rPr>
      </w:pPr>
      <w:r w:rsidRPr="00DB7AA7">
        <w:rPr>
          <w:rFonts w:ascii="David" w:eastAsia="Times New Roman" w:hAnsi="David" w:cs="David" w:hint="cs"/>
          <w:b/>
          <w:bCs/>
          <w:noProof/>
          <w:sz w:val="20"/>
          <w:szCs w:val="24"/>
          <w:rtl/>
          <w:lang w:eastAsia="he-IL"/>
        </w:rPr>
        <w:t xml:space="preserve">                                          2. </w:t>
      </w:r>
      <w:r w:rsidR="009F321D">
        <w:rPr>
          <w:rFonts w:ascii="David" w:hAnsi="David" w:cs="David" w:hint="cs"/>
          <w:b/>
          <w:bCs/>
          <w:sz w:val="24"/>
          <w:szCs w:val="24"/>
          <w:rtl/>
        </w:rPr>
        <w:t>_________</w:t>
      </w:r>
      <w:r w:rsidRPr="00DB7AA7">
        <w:rPr>
          <w:rFonts w:ascii="David" w:hAnsi="David" w:cs="David" w:hint="cs"/>
          <w:b/>
          <w:bCs/>
          <w:sz w:val="24"/>
          <w:szCs w:val="24"/>
          <w:rtl/>
        </w:rPr>
        <w:t xml:space="preserve">ת.ז. </w:t>
      </w:r>
      <w:r w:rsidR="009F321D">
        <w:rPr>
          <w:rFonts w:ascii="David" w:hAnsi="David" w:cs="David" w:hint="cs"/>
          <w:b/>
          <w:bCs/>
          <w:sz w:val="24"/>
          <w:szCs w:val="24"/>
          <w:rtl/>
        </w:rPr>
        <w:t>__________</w:t>
      </w:r>
      <w:r w:rsidRPr="00DB7AA7">
        <w:rPr>
          <w:rFonts w:ascii="David" w:hAnsi="David" w:cs="David" w:hint="cs"/>
          <w:b/>
          <w:bCs/>
          <w:sz w:val="24"/>
          <w:szCs w:val="24"/>
          <w:rtl/>
        </w:rPr>
        <w:t xml:space="preserve"> (קטינה)</w:t>
      </w:r>
    </w:p>
    <w:p w14:paraId="1632CDF3" w14:textId="6665063F" w:rsidR="00644C59" w:rsidRPr="00DB7AA7" w:rsidRDefault="00DB7AA7">
      <w:pPr>
        <w:spacing w:after="0" w:line="240" w:lineRule="auto"/>
        <w:ind w:left="1440" w:firstLine="720"/>
        <w:jc w:val="both"/>
        <w:rPr>
          <w:rFonts w:ascii="David" w:hAnsi="David" w:cs="David"/>
          <w:b/>
          <w:bCs/>
          <w:sz w:val="24"/>
          <w:szCs w:val="24"/>
          <w:rtl/>
        </w:rPr>
      </w:pPr>
      <w:r>
        <w:rPr>
          <w:rFonts w:ascii="David" w:hAnsi="David" w:cs="David" w:hint="cs"/>
          <w:b/>
          <w:bCs/>
          <w:sz w:val="24"/>
          <w:szCs w:val="24"/>
          <w:rtl/>
        </w:rPr>
        <w:t xml:space="preserve"> </w:t>
      </w:r>
      <w:r w:rsidR="0013306E" w:rsidRPr="00DB7AA7">
        <w:rPr>
          <w:rFonts w:ascii="David" w:hAnsi="David" w:cs="David"/>
          <w:b/>
          <w:bCs/>
          <w:sz w:val="24"/>
          <w:szCs w:val="24"/>
          <w:rtl/>
        </w:rPr>
        <w:t xml:space="preserve">ע"י אמם והאפוטרופה הטבעית </w:t>
      </w:r>
      <w:r w:rsidR="009F321D">
        <w:rPr>
          <w:rFonts w:ascii="David" w:hAnsi="David" w:cs="David" w:hint="cs"/>
          <w:b/>
          <w:bCs/>
          <w:sz w:val="24"/>
          <w:szCs w:val="24"/>
          <w:rtl/>
        </w:rPr>
        <w:t>______</w:t>
      </w:r>
      <w:r>
        <w:rPr>
          <w:rFonts w:ascii="David" w:hAnsi="David" w:cs="David" w:hint="cs"/>
          <w:b/>
          <w:bCs/>
          <w:sz w:val="24"/>
          <w:szCs w:val="24"/>
          <w:rtl/>
        </w:rPr>
        <w:t xml:space="preserve">ת.ז. </w:t>
      </w:r>
      <w:r w:rsidR="009F321D">
        <w:rPr>
          <w:rFonts w:ascii="David" w:hAnsi="David" w:cs="David" w:hint="cs"/>
          <w:b/>
          <w:bCs/>
          <w:sz w:val="24"/>
          <w:szCs w:val="24"/>
          <w:rtl/>
        </w:rPr>
        <w:t>________</w:t>
      </w:r>
    </w:p>
    <w:p w14:paraId="774231C0" w14:textId="2D12950A" w:rsidR="00DB7AA7" w:rsidRPr="00DB7AA7" w:rsidRDefault="00DB7AA7" w:rsidP="00DB7AA7">
      <w:pPr>
        <w:spacing w:after="0"/>
        <w:rPr>
          <w:rFonts w:ascii="David" w:hAnsi="David" w:cs="David"/>
          <w:sz w:val="24"/>
          <w:szCs w:val="24"/>
          <w:rtl/>
        </w:rPr>
      </w:pPr>
      <w:r w:rsidRPr="00DB7AA7">
        <w:rPr>
          <w:rFonts w:ascii="David" w:hAnsi="David" w:cs="David"/>
          <w:sz w:val="24"/>
          <w:szCs w:val="24"/>
          <w:rtl/>
        </w:rPr>
        <w:t xml:space="preserve">                                        </w:t>
      </w:r>
      <w:r>
        <w:rPr>
          <w:rFonts w:ascii="David" w:hAnsi="David" w:cs="David" w:hint="cs"/>
          <w:sz w:val="24"/>
          <w:szCs w:val="24"/>
          <w:rtl/>
        </w:rPr>
        <w:t xml:space="preserve"> </w:t>
      </w:r>
      <w:r w:rsidRPr="00DB7AA7">
        <w:rPr>
          <w:rFonts w:ascii="David" w:hAnsi="David" w:cs="David"/>
          <w:sz w:val="24"/>
          <w:szCs w:val="24"/>
          <w:rtl/>
        </w:rPr>
        <w:t xml:space="preserve"> ע"י ב"כ </w:t>
      </w:r>
      <w:r w:rsidR="00240E05">
        <w:rPr>
          <w:rFonts w:ascii="David" w:hAnsi="David" w:cs="David" w:hint="cs"/>
          <w:sz w:val="24"/>
          <w:szCs w:val="24"/>
          <w:rtl/>
        </w:rPr>
        <w:t>______</w:t>
      </w:r>
      <w:r w:rsidRPr="00DB7AA7">
        <w:rPr>
          <w:rFonts w:ascii="David" w:hAnsi="David" w:cs="David"/>
          <w:sz w:val="24"/>
          <w:szCs w:val="24"/>
          <w:rtl/>
        </w:rPr>
        <w:t xml:space="preserve"> משרד עו"ד</w:t>
      </w:r>
    </w:p>
    <w:p w14:paraId="417B8338" w14:textId="3852FF4F" w:rsidR="00DB7AA7" w:rsidRPr="00DB7AA7" w:rsidRDefault="00DB7AA7" w:rsidP="00DB7AA7">
      <w:pPr>
        <w:spacing w:after="0"/>
        <w:rPr>
          <w:rFonts w:ascii="David" w:hAnsi="David" w:cs="David"/>
          <w:sz w:val="24"/>
          <w:szCs w:val="24"/>
          <w:rtl/>
        </w:rPr>
      </w:pPr>
      <w:r w:rsidRPr="00DB7AA7">
        <w:rPr>
          <w:rFonts w:ascii="David" w:hAnsi="David" w:cs="David"/>
          <w:sz w:val="24"/>
          <w:szCs w:val="24"/>
          <w:rtl/>
        </w:rPr>
        <w:tab/>
      </w:r>
      <w:r w:rsidRPr="00DB7AA7">
        <w:rPr>
          <w:rFonts w:ascii="David" w:hAnsi="David" w:cs="David"/>
          <w:sz w:val="24"/>
          <w:szCs w:val="24"/>
          <w:rtl/>
        </w:rPr>
        <w:tab/>
        <w:t xml:space="preserve">             </w:t>
      </w:r>
      <w:r>
        <w:rPr>
          <w:rFonts w:ascii="David" w:hAnsi="David" w:cs="David" w:hint="cs"/>
          <w:sz w:val="24"/>
          <w:szCs w:val="24"/>
          <w:rtl/>
        </w:rPr>
        <w:t xml:space="preserve"> </w:t>
      </w:r>
      <w:r w:rsidRPr="00DB7AA7">
        <w:rPr>
          <w:rFonts w:ascii="David" w:hAnsi="David" w:cs="David"/>
          <w:sz w:val="24"/>
          <w:szCs w:val="24"/>
          <w:rtl/>
        </w:rPr>
        <w:t xml:space="preserve"> באמצעות עוה"ד </w:t>
      </w:r>
      <w:r w:rsidR="009F321D">
        <w:rPr>
          <w:rFonts w:ascii="David" w:hAnsi="David" w:cs="David" w:hint="cs"/>
          <w:sz w:val="24"/>
          <w:szCs w:val="24"/>
          <w:rtl/>
        </w:rPr>
        <w:t>______</w:t>
      </w:r>
      <w:r w:rsidR="00930360">
        <w:rPr>
          <w:rFonts w:ascii="David" w:hAnsi="David" w:cs="David" w:hint="cs"/>
          <w:sz w:val="24"/>
          <w:szCs w:val="24"/>
          <w:rtl/>
        </w:rPr>
        <w:t xml:space="preserve"> (מ.ר)</w:t>
      </w:r>
      <w:r w:rsidRPr="00DB7AA7">
        <w:rPr>
          <w:rFonts w:ascii="David" w:hAnsi="David" w:cs="David"/>
          <w:sz w:val="24"/>
          <w:szCs w:val="24"/>
          <w:rtl/>
        </w:rPr>
        <w:t xml:space="preserve"> ו/או </w:t>
      </w:r>
      <w:r w:rsidR="009F321D">
        <w:rPr>
          <w:rFonts w:ascii="David" w:hAnsi="David" w:cs="David" w:hint="cs"/>
          <w:sz w:val="24"/>
          <w:szCs w:val="24"/>
          <w:rtl/>
        </w:rPr>
        <w:t>__________</w:t>
      </w:r>
    </w:p>
    <w:p w14:paraId="6DA51548" w14:textId="60699A48" w:rsidR="00DB7AA7" w:rsidRPr="00DB7AA7" w:rsidRDefault="00DB7AA7" w:rsidP="00DB7AA7">
      <w:pPr>
        <w:spacing w:after="0"/>
        <w:rPr>
          <w:rFonts w:ascii="David" w:hAnsi="David" w:cs="David"/>
          <w:sz w:val="24"/>
          <w:szCs w:val="24"/>
        </w:rPr>
      </w:pPr>
      <w:r w:rsidRPr="00DB7AA7">
        <w:rPr>
          <w:rFonts w:ascii="David" w:hAnsi="David" w:cs="David"/>
          <w:sz w:val="24"/>
          <w:szCs w:val="24"/>
          <w:rtl/>
        </w:rPr>
        <w:tab/>
      </w:r>
      <w:r w:rsidRPr="00DB7AA7">
        <w:rPr>
          <w:rFonts w:ascii="David" w:hAnsi="David" w:cs="David"/>
          <w:sz w:val="24"/>
          <w:szCs w:val="24"/>
          <w:rtl/>
        </w:rPr>
        <w:tab/>
        <w:t xml:space="preserve">            </w:t>
      </w:r>
      <w:r>
        <w:rPr>
          <w:rFonts w:ascii="David" w:hAnsi="David" w:cs="David" w:hint="cs"/>
          <w:sz w:val="24"/>
          <w:szCs w:val="24"/>
          <w:rtl/>
        </w:rPr>
        <w:t xml:space="preserve"> </w:t>
      </w:r>
      <w:r w:rsidRPr="00DB7AA7">
        <w:rPr>
          <w:rFonts w:ascii="David" w:hAnsi="David" w:cs="David"/>
          <w:sz w:val="24"/>
          <w:szCs w:val="24"/>
          <w:rtl/>
        </w:rPr>
        <w:t xml:space="preserve">  מדרך בגין </w:t>
      </w:r>
      <w:r w:rsidR="00240E05">
        <w:rPr>
          <w:rFonts w:ascii="David" w:hAnsi="David" w:cs="David" w:hint="cs"/>
          <w:sz w:val="24"/>
          <w:szCs w:val="24"/>
          <w:rtl/>
        </w:rPr>
        <w:t>____,</w:t>
      </w:r>
      <w:r w:rsidRPr="00DB7AA7">
        <w:rPr>
          <w:rFonts w:ascii="David" w:hAnsi="David" w:cs="David"/>
          <w:sz w:val="24"/>
          <w:szCs w:val="24"/>
          <w:rtl/>
        </w:rPr>
        <w:t xml:space="preserve"> מגדל </w:t>
      </w:r>
      <w:r w:rsidR="00240E05">
        <w:rPr>
          <w:rFonts w:ascii="David" w:hAnsi="David" w:cs="David" w:hint="cs"/>
          <w:sz w:val="24"/>
          <w:szCs w:val="24"/>
          <w:rtl/>
        </w:rPr>
        <w:t>_______</w:t>
      </w:r>
      <w:r w:rsidRPr="00DB7AA7">
        <w:rPr>
          <w:rFonts w:ascii="David" w:hAnsi="David" w:cs="David"/>
          <w:sz w:val="24"/>
          <w:szCs w:val="24"/>
          <w:rtl/>
        </w:rPr>
        <w:t xml:space="preserve">, תל אביב </w:t>
      </w:r>
      <w:r w:rsidR="00240E05">
        <w:rPr>
          <w:rFonts w:ascii="David" w:hAnsi="David" w:cs="David" w:hint="cs"/>
          <w:sz w:val="24"/>
          <w:szCs w:val="24"/>
          <w:rtl/>
        </w:rPr>
        <w:t>________</w:t>
      </w:r>
    </w:p>
    <w:p w14:paraId="5A2AD9E7" w14:textId="7A46AD61" w:rsidR="00644C59" w:rsidRPr="00DB7AA7" w:rsidRDefault="00DB7AA7" w:rsidP="00DB7AA7">
      <w:pPr>
        <w:spacing w:after="0" w:line="240" w:lineRule="auto"/>
        <w:rPr>
          <w:rFonts w:ascii="David" w:eastAsia="Times New Roman" w:hAnsi="David" w:cs="David"/>
          <w:noProof/>
          <w:sz w:val="24"/>
          <w:szCs w:val="24"/>
          <w:rtl/>
          <w:lang w:eastAsia="he-IL"/>
        </w:rPr>
      </w:pPr>
      <w:r w:rsidRPr="00DB7AA7">
        <w:rPr>
          <w:rFonts w:ascii="David" w:hAnsi="David" w:cs="David"/>
          <w:sz w:val="24"/>
          <w:szCs w:val="24"/>
          <w:rtl/>
          <w:lang w:val="en-GB"/>
        </w:rPr>
        <w:t xml:space="preserve">                                         </w:t>
      </w:r>
      <w:r>
        <w:rPr>
          <w:rFonts w:ascii="David" w:hAnsi="David" w:cs="David" w:hint="cs"/>
          <w:sz w:val="24"/>
          <w:szCs w:val="24"/>
          <w:rtl/>
          <w:lang w:val="en-GB"/>
        </w:rPr>
        <w:t xml:space="preserve"> </w:t>
      </w:r>
      <w:r w:rsidRPr="00DB7AA7">
        <w:rPr>
          <w:rFonts w:ascii="David" w:hAnsi="David" w:cs="David"/>
          <w:sz w:val="24"/>
          <w:szCs w:val="24"/>
          <w:rtl/>
          <w:lang w:val="en-GB"/>
        </w:rPr>
        <w:t>טל: 073-</w:t>
      </w:r>
      <w:r w:rsidR="00240E05">
        <w:rPr>
          <w:rFonts w:ascii="David" w:hAnsi="David" w:cs="David" w:hint="cs"/>
          <w:sz w:val="24"/>
          <w:szCs w:val="24"/>
          <w:rtl/>
          <w:lang w:val="en-GB"/>
        </w:rPr>
        <w:t>________</w:t>
      </w:r>
      <w:r w:rsidRPr="00DB7AA7">
        <w:rPr>
          <w:rFonts w:ascii="David" w:hAnsi="David" w:cs="David"/>
          <w:sz w:val="24"/>
          <w:szCs w:val="24"/>
          <w:rtl/>
          <w:lang w:val="en-GB"/>
        </w:rPr>
        <w:t xml:space="preserve"> פקס: 073-</w:t>
      </w:r>
      <w:r w:rsidR="00240E05">
        <w:rPr>
          <w:rFonts w:ascii="David" w:hAnsi="David" w:cs="David" w:hint="cs"/>
          <w:sz w:val="24"/>
          <w:szCs w:val="24"/>
          <w:rtl/>
          <w:lang w:val="en-GB"/>
        </w:rPr>
        <w:t>__________</w:t>
      </w:r>
      <w:r w:rsidRPr="00DB7AA7">
        <w:rPr>
          <w:rFonts w:ascii="David" w:hAnsi="David" w:cs="David"/>
          <w:sz w:val="24"/>
          <w:szCs w:val="24"/>
          <w:rtl/>
        </w:rPr>
        <w:tab/>
      </w:r>
    </w:p>
    <w:p w14:paraId="38F663FC" w14:textId="77777777" w:rsidR="00644C59" w:rsidRPr="00DB7AA7" w:rsidRDefault="0013306E">
      <w:pPr>
        <w:spacing w:after="0" w:line="240" w:lineRule="auto"/>
        <w:ind w:left="2160"/>
        <w:jc w:val="both"/>
        <w:rPr>
          <w:rFonts w:ascii="David" w:eastAsia="Times New Roman" w:hAnsi="David" w:cs="David"/>
          <w:b/>
          <w:bCs/>
          <w:noProof/>
          <w:sz w:val="20"/>
          <w:szCs w:val="24"/>
          <w:u w:val="single"/>
          <w:rtl/>
          <w:lang w:eastAsia="he-IL"/>
        </w:rPr>
      </w:pPr>
      <w:r w:rsidRPr="00DB7AA7">
        <w:rPr>
          <w:rFonts w:ascii="David" w:eastAsia="Times New Roman" w:hAnsi="David" w:cs="David"/>
          <w:b/>
          <w:bCs/>
          <w:noProof/>
          <w:sz w:val="20"/>
          <w:szCs w:val="24"/>
          <w:lang w:eastAsia="he-IL"/>
        </w:rPr>
        <w:t xml:space="preserve">                                                                                        </w:t>
      </w:r>
      <w:r w:rsidRPr="00DB7AA7">
        <w:rPr>
          <w:rFonts w:ascii="David" w:eastAsia="Times New Roman" w:hAnsi="David" w:cs="David"/>
          <w:b/>
          <w:bCs/>
          <w:noProof/>
          <w:sz w:val="20"/>
          <w:szCs w:val="24"/>
          <w:u w:val="single"/>
          <w:rtl/>
          <w:lang w:eastAsia="he-IL"/>
        </w:rPr>
        <w:t>התובעים</w:t>
      </w:r>
      <w:r w:rsidRPr="00DB7AA7">
        <w:rPr>
          <w:rFonts w:ascii="David" w:eastAsia="Times New Roman" w:hAnsi="David" w:cs="David"/>
          <w:b/>
          <w:bCs/>
          <w:noProof/>
          <w:sz w:val="20"/>
          <w:szCs w:val="24"/>
          <w:rtl/>
          <w:lang w:eastAsia="he-IL"/>
        </w:rPr>
        <w:tab/>
      </w:r>
    </w:p>
    <w:p w14:paraId="5F66980E" w14:textId="77777777" w:rsidR="00644C59" w:rsidRPr="00DB7AA7" w:rsidRDefault="0013306E">
      <w:pPr>
        <w:spacing w:after="0" w:line="240" w:lineRule="auto"/>
        <w:ind w:left="2160"/>
        <w:jc w:val="both"/>
        <w:rPr>
          <w:rFonts w:ascii="David" w:eastAsia="Times New Roman" w:hAnsi="David" w:cs="David"/>
          <w:b/>
          <w:bCs/>
          <w:noProof/>
          <w:sz w:val="20"/>
          <w:szCs w:val="24"/>
          <w:rtl/>
          <w:lang w:eastAsia="he-IL"/>
        </w:rPr>
      </w:pPr>
      <w:r w:rsidRPr="00DB7AA7">
        <w:rPr>
          <w:rFonts w:ascii="David" w:eastAsia="Times New Roman" w:hAnsi="David" w:cs="David"/>
          <w:b/>
          <w:bCs/>
          <w:noProof/>
          <w:sz w:val="20"/>
          <w:szCs w:val="24"/>
          <w:rtl/>
          <w:lang w:eastAsia="he-IL"/>
        </w:rPr>
        <w:t xml:space="preserve">                -נגד-</w:t>
      </w:r>
    </w:p>
    <w:p w14:paraId="7DE4454C" w14:textId="77777777" w:rsidR="00644C59" w:rsidRPr="00DB7AA7" w:rsidRDefault="00644C59">
      <w:pPr>
        <w:spacing w:after="0" w:line="240" w:lineRule="auto"/>
        <w:jc w:val="both"/>
        <w:rPr>
          <w:rFonts w:ascii="David" w:eastAsia="Times New Roman" w:hAnsi="David" w:cs="David"/>
          <w:b/>
          <w:bCs/>
          <w:noProof/>
          <w:sz w:val="20"/>
          <w:szCs w:val="24"/>
          <w:rtl/>
          <w:lang w:eastAsia="he-IL"/>
        </w:rPr>
      </w:pPr>
    </w:p>
    <w:p w14:paraId="39436A3F" w14:textId="7D573FDB" w:rsidR="00644C59" w:rsidRPr="00DB7AA7" w:rsidRDefault="009F321D">
      <w:pPr>
        <w:spacing w:after="0" w:line="240" w:lineRule="auto"/>
        <w:ind w:left="1440" w:firstLine="720"/>
        <w:jc w:val="both"/>
        <w:rPr>
          <w:rFonts w:ascii="David" w:eastAsia="Times New Roman" w:hAnsi="David" w:cs="David"/>
          <w:b/>
          <w:bCs/>
          <w:noProof/>
          <w:sz w:val="20"/>
          <w:szCs w:val="24"/>
          <w:rtl/>
          <w:lang w:eastAsia="he-IL"/>
        </w:rPr>
      </w:pPr>
      <w:r>
        <w:rPr>
          <w:rFonts w:ascii="David" w:eastAsia="Times New Roman" w:hAnsi="David" w:cs="David" w:hint="cs"/>
          <w:b/>
          <w:bCs/>
          <w:noProof/>
          <w:sz w:val="20"/>
          <w:szCs w:val="24"/>
          <w:rtl/>
          <w:lang w:eastAsia="he-IL"/>
        </w:rPr>
        <w:t>_______</w:t>
      </w:r>
      <w:r w:rsidR="00DB7AA7">
        <w:rPr>
          <w:rFonts w:ascii="David" w:eastAsia="Times New Roman" w:hAnsi="David" w:cs="David" w:hint="cs"/>
          <w:b/>
          <w:bCs/>
          <w:noProof/>
          <w:sz w:val="20"/>
          <w:szCs w:val="24"/>
          <w:rtl/>
          <w:lang w:eastAsia="he-IL"/>
        </w:rPr>
        <w:t xml:space="preserve"> ת.ז. </w:t>
      </w:r>
      <w:r>
        <w:rPr>
          <w:rFonts w:ascii="David" w:eastAsia="Times New Roman" w:hAnsi="David" w:cs="David" w:hint="cs"/>
          <w:b/>
          <w:bCs/>
          <w:noProof/>
          <w:sz w:val="20"/>
          <w:szCs w:val="24"/>
          <w:rtl/>
          <w:lang w:eastAsia="he-IL"/>
        </w:rPr>
        <w:t>__________</w:t>
      </w:r>
    </w:p>
    <w:p w14:paraId="6A4FD39E" w14:textId="121BE610" w:rsidR="00644C59" w:rsidRDefault="0013306E">
      <w:pPr>
        <w:spacing w:after="0" w:line="240" w:lineRule="auto"/>
        <w:jc w:val="both"/>
        <w:rPr>
          <w:rFonts w:ascii="David" w:eastAsia="Times New Roman" w:hAnsi="David" w:cs="David"/>
          <w:noProof/>
          <w:sz w:val="20"/>
          <w:szCs w:val="24"/>
          <w:rtl/>
          <w:lang w:eastAsia="he-IL"/>
        </w:rPr>
      </w:pPr>
      <w:r w:rsidRPr="00DB7AA7">
        <w:rPr>
          <w:rFonts w:ascii="David" w:eastAsia="Times New Roman" w:hAnsi="David" w:cs="David"/>
          <w:noProof/>
          <w:sz w:val="20"/>
          <w:szCs w:val="24"/>
          <w:rtl/>
          <w:lang w:eastAsia="he-IL"/>
        </w:rPr>
        <w:t xml:space="preserve">                                </w:t>
      </w:r>
      <w:r w:rsidRPr="00DB7AA7">
        <w:rPr>
          <w:rFonts w:ascii="David" w:eastAsia="Times New Roman" w:hAnsi="David" w:cs="David"/>
          <w:noProof/>
          <w:sz w:val="20"/>
          <w:szCs w:val="24"/>
          <w:rtl/>
          <w:lang w:eastAsia="he-IL"/>
        </w:rPr>
        <w:tab/>
        <w:t xml:space="preserve">מרח' </w:t>
      </w:r>
      <w:r w:rsidR="009F321D">
        <w:rPr>
          <w:rFonts w:ascii="David" w:eastAsia="Times New Roman" w:hAnsi="David" w:cs="David" w:hint="cs"/>
          <w:noProof/>
          <w:sz w:val="20"/>
          <w:szCs w:val="24"/>
          <w:rtl/>
          <w:lang w:eastAsia="he-IL"/>
        </w:rPr>
        <w:t>______________</w:t>
      </w:r>
    </w:p>
    <w:p w14:paraId="1FB11373" w14:textId="1CDA5FE7" w:rsidR="00DB7AA7" w:rsidRPr="00DB7AA7" w:rsidRDefault="00DB7AA7">
      <w:pPr>
        <w:spacing w:after="0" w:line="240" w:lineRule="auto"/>
        <w:jc w:val="both"/>
        <w:rPr>
          <w:rFonts w:ascii="David" w:eastAsia="Times New Roman" w:hAnsi="David" w:cs="David"/>
          <w:noProof/>
          <w:sz w:val="20"/>
          <w:szCs w:val="24"/>
          <w:rtl/>
          <w:lang w:eastAsia="he-IL"/>
        </w:rPr>
      </w:pPr>
      <w:r>
        <w:rPr>
          <w:rFonts w:ascii="David" w:eastAsia="Times New Roman" w:hAnsi="David" w:cs="David" w:hint="cs"/>
          <w:noProof/>
          <w:sz w:val="20"/>
          <w:szCs w:val="24"/>
          <w:rtl/>
          <w:lang w:eastAsia="he-IL"/>
        </w:rPr>
        <w:t xml:space="preserve">                                         טל: </w:t>
      </w:r>
      <w:r w:rsidR="009F321D">
        <w:rPr>
          <w:rFonts w:ascii="David" w:eastAsia="Times New Roman" w:hAnsi="David" w:cs="David" w:hint="cs"/>
          <w:noProof/>
          <w:sz w:val="20"/>
          <w:szCs w:val="24"/>
          <w:rtl/>
          <w:lang w:eastAsia="he-IL"/>
        </w:rPr>
        <w:t>____________________</w:t>
      </w:r>
    </w:p>
    <w:p w14:paraId="13764159" w14:textId="77777777" w:rsidR="00644C59" w:rsidRPr="00DB7AA7" w:rsidRDefault="0013306E">
      <w:pPr>
        <w:spacing w:after="0" w:line="240" w:lineRule="auto"/>
        <w:jc w:val="both"/>
        <w:rPr>
          <w:rFonts w:ascii="David" w:eastAsia="Times New Roman" w:hAnsi="David" w:cs="David"/>
          <w:b/>
          <w:bCs/>
          <w:noProof/>
          <w:sz w:val="20"/>
          <w:szCs w:val="24"/>
          <w:u w:val="single"/>
          <w:rtl/>
          <w:lang w:eastAsia="he-IL"/>
        </w:rPr>
      </w:pPr>
      <w:r w:rsidRPr="00DB7AA7">
        <w:rPr>
          <w:rFonts w:ascii="David" w:eastAsia="Times New Roman" w:hAnsi="David" w:cs="David"/>
          <w:b/>
          <w:bCs/>
          <w:noProof/>
          <w:sz w:val="20"/>
          <w:szCs w:val="24"/>
          <w:lang w:eastAsia="he-IL"/>
        </w:rPr>
        <w:t xml:space="preserve">                                                                                                                                     </w:t>
      </w:r>
      <w:r w:rsidRPr="00DB7AA7">
        <w:rPr>
          <w:rFonts w:ascii="David" w:eastAsia="Times New Roman" w:hAnsi="David" w:cs="David"/>
          <w:b/>
          <w:bCs/>
          <w:noProof/>
          <w:sz w:val="20"/>
          <w:szCs w:val="24"/>
          <w:u w:val="single"/>
          <w:rtl/>
          <w:lang w:eastAsia="he-IL"/>
        </w:rPr>
        <w:t>הנתבע</w:t>
      </w:r>
    </w:p>
    <w:p w14:paraId="3AB5AADB" w14:textId="77777777" w:rsidR="00644C59" w:rsidRPr="00DB7AA7" w:rsidRDefault="00644C59">
      <w:pPr>
        <w:spacing w:after="0" w:line="240" w:lineRule="auto"/>
        <w:jc w:val="both"/>
        <w:rPr>
          <w:rFonts w:ascii="David" w:eastAsia="Times New Roman" w:hAnsi="David" w:cs="David"/>
          <w:b/>
          <w:bCs/>
          <w:noProof/>
          <w:sz w:val="20"/>
          <w:szCs w:val="24"/>
          <w:rtl/>
          <w:lang w:eastAsia="he-IL"/>
        </w:rPr>
      </w:pPr>
    </w:p>
    <w:p w14:paraId="66685DE3" w14:textId="77777777" w:rsidR="00644C59" w:rsidRPr="00DB7AA7" w:rsidRDefault="00644C59">
      <w:pPr>
        <w:spacing w:after="0" w:line="240" w:lineRule="auto"/>
        <w:jc w:val="both"/>
        <w:rPr>
          <w:rFonts w:ascii="David" w:eastAsia="Times New Roman" w:hAnsi="David" w:cs="David"/>
          <w:b/>
          <w:bCs/>
          <w:noProof/>
          <w:sz w:val="20"/>
          <w:szCs w:val="24"/>
          <w:u w:val="single"/>
          <w:rtl/>
          <w:lang w:eastAsia="he-IL"/>
        </w:rPr>
      </w:pPr>
    </w:p>
    <w:p w14:paraId="4CE6AE7F" w14:textId="77777777" w:rsidR="00644C59" w:rsidRPr="00DB7AA7" w:rsidRDefault="0013306E">
      <w:pPr>
        <w:tabs>
          <w:tab w:val="left" w:pos="2409"/>
          <w:tab w:val="left" w:pos="2551"/>
        </w:tabs>
        <w:spacing w:after="0" w:line="240" w:lineRule="auto"/>
        <w:jc w:val="center"/>
        <w:rPr>
          <w:rFonts w:ascii="David" w:eastAsia="Times New Roman" w:hAnsi="David" w:cs="David"/>
          <w:b/>
          <w:bCs/>
          <w:noProof/>
          <w:sz w:val="20"/>
          <w:szCs w:val="32"/>
          <w:u w:val="single"/>
          <w:rtl/>
          <w:lang w:eastAsia="he-IL"/>
        </w:rPr>
      </w:pPr>
      <w:r w:rsidRPr="00DB7AA7">
        <w:rPr>
          <w:rFonts w:ascii="David" w:eastAsia="Times New Roman" w:hAnsi="David" w:cs="David"/>
          <w:b/>
          <w:bCs/>
          <w:noProof/>
          <w:sz w:val="20"/>
          <w:szCs w:val="32"/>
          <w:u w:val="single"/>
          <w:rtl/>
          <w:lang w:eastAsia="he-IL"/>
        </w:rPr>
        <w:t xml:space="preserve">בקשה לקבלת אישור בית המשפט </w:t>
      </w:r>
    </w:p>
    <w:p w14:paraId="48C12098" w14:textId="77777777" w:rsidR="00644C59" w:rsidRPr="00DB7AA7" w:rsidRDefault="0013306E">
      <w:pPr>
        <w:tabs>
          <w:tab w:val="left" w:pos="2409"/>
          <w:tab w:val="left" w:pos="2551"/>
        </w:tabs>
        <w:spacing w:after="0" w:line="240" w:lineRule="auto"/>
        <w:jc w:val="center"/>
        <w:rPr>
          <w:rFonts w:ascii="David" w:eastAsia="Times New Roman" w:hAnsi="David" w:cs="David"/>
          <w:noProof/>
          <w:sz w:val="20"/>
          <w:szCs w:val="24"/>
          <w:rtl/>
          <w:lang w:eastAsia="he-IL"/>
        </w:rPr>
      </w:pPr>
      <w:r w:rsidRPr="00DB7AA7">
        <w:rPr>
          <w:rFonts w:ascii="David" w:eastAsia="Times New Roman" w:hAnsi="David" w:cs="David"/>
          <w:b/>
          <w:bCs/>
          <w:noProof/>
          <w:sz w:val="20"/>
          <w:szCs w:val="32"/>
          <w:u w:val="single"/>
          <w:rtl/>
          <w:lang w:eastAsia="he-IL"/>
        </w:rPr>
        <w:t>לגביית חוב מזונות עבר</w:t>
      </w:r>
    </w:p>
    <w:p w14:paraId="340C349F" w14:textId="77777777" w:rsidR="00644C59" w:rsidRPr="00DB7AA7" w:rsidRDefault="00644C59">
      <w:pPr>
        <w:tabs>
          <w:tab w:val="left" w:pos="2409"/>
          <w:tab w:val="left" w:pos="2551"/>
        </w:tabs>
        <w:spacing w:after="0" w:line="240" w:lineRule="auto"/>
        <w:jc w:val="center"/>
        <w:rPr>
          <w:rFonts w:ascii="David" w:eastAsia="Times New Roman" w:hAnsi="David" w:cs="David"/>
          <w:noProof/>
          <w:sz w:val="20"/>
          <w:szCs w:val="24"/>
          <w:lang w:eastAsia="he-IL"/>
        </w:rPr>
      </w:pPr>
    </w:p>
    <w:p w14:paraId="534B8397" w14:textId="0476551B" w:rsidR="00644C59" w:rsidRDefault="0013306E" w:rsidP="00FF4525">
      <w:pPr>
        <w:tabs>
          <w:tab w:val="left" w:pos="2409"/>
          <w:tab w:val="left" w:pos="2551"/>
        </w:tabs>
        <w:spacing w:before="120" w:after="360" w:line="240" w:lineRule="auto"/>
        <w:jc w:val="both"/>
        <w:rPr>
          <w:rFonts w:ascii="David" w:eastAsia="Times New Roman" w:hAnsi="David" w:cs="David"/>
          <w:noProof/>
          <w:sz w:val="20"/>
          <w:szCs w:val="24"/>
          <w:rtl/>
          <w:lang w:eastAsia="he-IL"/>
        </w:rPr>
      </w:pPr>
      <w:r w:rsidRPr="00DB7AA7">
        <w:rPr>
          <w:rFonts w:ascii="David" w:eastAsia="Times New Roman" w:hAnsi="David" w:cs="David"/>
          <w:noProof/>
          <w:sz w:val="20"/>
          <w:szCs w:val="24"/>
          <w:rtl/>
          <w:lang w:eastAsia="he-IL"/>
        </w:rPr>
        <w:t xml:space="preserve">בית המשפט הנכבד מתבקש לעשות שימוש בסמכותו מכח סעיף 7 </w:t>
      </w:r>
      <w:r w:rsidRPr="00DB7AA7">
        <w:rPr>
          <w:rFonts w:ascii="David" w:hAnsi="David" w:cs="David"/>
          <w:b/>
          <w:bCs/>
          <w:color w:val="1B1B1B"/>
          <w:sz w:val="24"/>
          <w:szCs w:val="24"/>
          <w:u w:val="single"/>
          <w:shd w:val="clear" w:color="auto" w:fill="FFFFFF"/>
          <w:rtl/>
        </w:rPr>
        <w:t>לחוק בית המשפט לענייני  משפחה,</w:t>
      </w:r>
      <w:r w:rsidRPr="00DB7AA7">
        <w:rPr>
          <w:rFonts w:ascii="David" w:hAnsi="David" w:cs="David"/>
          <w:color w:val="1B1B1B"/>
          <w:sz w:val="24"/>
          <w:szCs w:val="24"/>
          <w:shd w:val="clear" w:color="auto" w:fill="FFFFFF"/>
          <w:rtl/>
        </w:rPr>
        <w:t xml:space="preserve"> תשנ"ה-1995</w:t>
      </w:r>
      <w:r w:rsidRPr="00DB7AA7">
        <w:rPr>
          <w:rFonts w:ascii="David" w:eastAsia="Times New Roman" w:hAnsi="David" w:cs="David"/>
          <w:noProof/>
          <w:sz w:val="20"/>
          <w:szCs w:val="24"/>
          <w:rtl/>
          <w:lang w:eastAsia="he-IL"/>
        </w:rPr>
        <w:t xml:space="preserve"> ולאשר לתובעת (להלן: </w:t>
      </w:r>
      <w:r w:rsidRPr="00DB7AA7">
        <w:rPr>
          <w:rFonts w:ascii="David" w:eastAsia="Times New Roman" w:hAnsi="David" w:cs="David"/>
          <w:b/>
          <w:bCs/>
          <w:noProof/>
          <w:sz w:val="20"/>
          <w:szCs w:val="24"/>
          <w:rtl/>
          <w:lang w:eastAsia="he-IL"/>
        </w:rPr>
        <w:t xml:space="preserve">"האישה" </w:t>
      </w:r>
      <w:r w:rsidRPr="00DB7AA7">
        <w:rPr>
          <w:rFonts w:ascii="David" w:eastAsia="Times New Roman" w:hAnsi="David" w:cs="David"/>
          <w:noProof/>
          <w:sz w:val="20"/>
          <w:szCs w:val="24"/>
          <w:rtl/>
          <w:lang w:eastAsia="he-IL"/>
        </w:rPr>
        <w:t xml:space="preserve">ו/או </w:t>
      </w:r>
      <w:r w:rsidRPr="00DB7AA7">
        <w:rPr>
          <w:rFonts w:ascii="David" w:eastAsia="Times New Roman" w:hAnsi="David" w:cs="David"/>
          <w:b/>
          <w:bCs/>
          <w:noProof/>
          <w:sz w:val="20"/>
          <w:szCs w:val="24"/>
          <w:rtl/>
          <w:lang w:eastAsia="he-IL"/>
        </w:rPr>
        <w:t>"הזוכה"</w:t>
      </w:r>
      <w:r w:rsidRPr="00DB7AA7">
        <w:rPr>
          <w:rFonts w:ascii="David" w:eastAsia="Times New Roman" w:hAnsi="David" w:cs="David"/>
          <w:noProof/>
          <w:sz w:val="20"/>
          <w:szCs w:val="24"/>
          <w:rtl/>
          <w:lang w:eastAsia="he-IL"/>
        </w:rPr>
        <w:t xml:space="preserve">) גביית חוב מזונות עבר מן הנתבע (להלן: </w:t>
      </w:r>
      <w:r w:rsidRPr="00DB7AA7">
        <w:rPr>
          <w:rFonts w:ascii="David" w:eastAsia="Times New Roman" w:hAnsi="David" w:cs="David"/>
          <w:b/>
          <w:bCs/>
          <w:noProof/>
          <w:sz w:val="20"/>
          <w:szCs w:val="24"/>
          <w:rtl/>
          <w:lang w:eastAsia="he-IL"/>
        </w:rPr>
        <w:t xml:space="preserve">"האיש" </w:t>
      </w:r>
      <w:r w:rsidRPr="00DB7AA7">
        <w:rPr>
          <w:rFonts w:ascii="David" w:eastAsia="Times New Roman" w:hAnsi="David" w:cs="David"/>
          <w:noProof/>
          <w:sz w:val="20"/>
          <w:szCs w:val="24"/>
          <w:rtl/>
          <w:lang w:eastAsia="he-IL"/>
        </w:rPr>
        <w:t xml:space="preserve">ו/או </w:t>
      </w:r>
      <w:r w:rsidRPr="00DB7AA7">
        <w:rPr>
          <w:rFonts w:ascii="David" w:eastAsia="Times New Roman" w:hAnsi="David" w:cs="David"/>
          <w:b/>
          <w:bCs/>
          <w:noProof/>
          <w:sz w:val="20"/>
          <w:szCs w:val="24"/>
          <w:rtl/>
          <w:lang w:eastAsia="he-IL"/>
        </w:rPr>
        <w:t>"החייב"</w:t>
      </w:r>
      <w:r w:rsidRPr="00DB7AA7">
        <w:rPr>
          <w:rFonts w:ascii="David" w:eastAsia="Times New Roman" w:hAnsi="David" w:cs="David"/>
          <w:noProof/>
          <w:sz w:val="20"/>
          <w:szCs w:val="24"/>
          <w:rtl/>
          <w:lang w:eastAsia="he-IL"/>
        </w:rPr>
        <w:t>).</w:t>
      </w:r>
    </w:p>
    <w:p w14:paraId="65B07CD7" w14:textId="13899911" w:rsidR="00B44386" w:rsidRPr="00DB7AA7" w:rsidRDefault="00B44386" w:rsidP="00FF4525">
      <w:pPr>
        <w:tabs>
          <w:tab w:val="left" w:pos="2409"/>
          <w:tab w:val="left" w:pos="2551"/>
        </w:tabs>
        <w:spacing w:before="120" w:after="360" w:line="240" w:lineRule="auto"/>
        <w:jc w:val="both"/>
        <w:rPr>
          <w:rFonts w:ascii="David" w:eastAsia="Times New Roman" w:hAnsi="David" w:cs="David"/>
          <w:noProof/>
          <w:sz w:val="20"/>
          <w:szCs w:val="24"/>
          <w:rtl/>
          <w:lang w:eastAsia="he-IL"/>
        </w:rPr>
      </w:pPr>
      <w:r>
        <w:rPr>
          <w:rFonts w:ascii="David" w:eastAsia="Times New Roman" w:hAnsi="David" w:cs="David" w:hint="cs"/>
          <w:noProof/>
          <w:sz w:val="20"/>
          <w:szCs w:val="24"/>
          <w:rtl/>
          <w:lang w:eastAsia="he-IL"/>
        </w:rPr>
        <w:t xml:space="preserve">בקשה זו מוגשת לאחר והתנהל ביום </w:t>
      </w:r>
      <w:r w:rsidR="009F321D">
        <w:rPr>
          <w:rFonts w:ascii="David" w:eastAsia="Times New Roman" w:hAnsi="David" w:cs="David" w:hint="cs"/>
          <w:noProof/>
          <w:sz w:val="20"/>
          <w:szCs w:val="24"/>
          <w:rtl/>
          <w:lang w:eastAsia="he-IL"/>
        </w:rPr>
        <w:t>____________</w:t>
      </w:r>
      <w:r>
        <w:rPr>
          <w:rFonts w:ascii="David" w:eastAsia="Times New Roman" w:hAnsi="David" w:cs="David" w:hint="cs"/>
          <w:noProof/>
          <w:sz w:val="20"/>
          <w:szCs w:val="24"/>
          <w:rtl/>
          <w:lang w:eastAsia="he-IL"/>
        </w:rPr>
        <w:t>, הליך ישוב סכסוך בעניינם שלא צלח.</w:t>
      </w:r>
    </w:p>
    <w:p w14:paraId="13040ACE" w14:textId="77777777" w:rsidR="00644C59" w:rsidRPr="00DB7AA7" w:rsidRDefault="0013306E" w:rsidP="00FF4525">
      <w:pPr>
        <w:tabs>
          <w:tab w:val="left" w:pos="2409"/>
          <w:tab w:val="left" w:pos="2551"/>
        </w:tabs>
        <w:spacing w:before="120" w:after="360" w:line="240" w:lineRule="auto"/>
        <w:jc w:val="both"/>
        <w:rPr>
          <w:rFonts w:ascii="David" w:eastAsia="Times New Roman" w:hAnsi="David" w:cs="David"/>
          <w:b/>
          <w:bCs/>
          <w:noProof/>
          <w:sz w:val="20"/>
          <w:szCs w:val="24"/>
          <w:u w:val="single"/>
          <w:rtl/>
          <w:lang w:eastAsia="he-IL"/>
        </w:rPr>
      </w:pPr>
      <w:r w:rsidRPr="00DB7AA7">
        <w:rPr>
          <w:rFonts w:ascii="David" w:eastAsia="Times New Roman" w:hAnsi="David" w:cs="David"/>
          <w:b/>
          <w:bCs/>
          <w:noProof/>
          <w:sz w:val="20"/>
          <w:szCs w:val="24"/>
          <w:u w:val="single"/>
          <w:rtl/>
          <w:lang w:eastAsia="he-IL"/>
        </w:rPr>
        <w:t>ואלה טעמי הבקשה:</w:t>
      </w:r>
    </w:p>
    <w:p w14:paraId="1D1F373D" w14:textId="77777777" w:rsidR="00644C59" w:rsidRPr="00DB7AA7" w:rsidRDefault="0013306E" w:rsidP="00FF4525">
      <w:pPr>
        <w:pStyle w:val="ListParagraph"/>
        <w:numPr>
          <w:ilvl w:val="0"/>
          <w:numId w:val="6"/>
        </w:numPr>
        <w:tabs>
          <w:tab w:val="left" w:pos="2409"/>
          <w:tab w:val="left" w:pos="2551"/>
        </w:tabs>
        <w:spacing w:before="120" w:after="360" w:line="240" w:lineRule="auto"/>
        <w:ind w:left="476" w:hanging="450"/>
        <w:contextualSpacing w:val="0"/>
        <w:jc w:val="both"/>
        <w:rPr>
          <w:rFonts w:ascii="David" w:eastAsia="Times New Roman" w:hAnsi="David" w:cs="David"/>
          <w:b/>
          <w:bCs/>
          <w:noProof/>
          <w:sz w:val="20"/>
          <w:szCs w:val="24"/>
          <w:u w:val="single"/>
          <w:lang w:eastAsia="he-IL"/>
        </w:rPr>
      </w:pPr>
      <w:r w:rsidRPr="00DB7AA7">
        <w:rPr>
          <w:rFonts w:ascii="David" w:eastAsia="Times New Roman" w:hAnsi="David" w:cs="David"/>
          <w:b/>
          <w:bCs/>
          <w:noProof/>
          <w:sz w:val="20"/>
          <w:szCs w:val="24"/>
          <w:u w:val="single"/>
          <w:rtl/>
          <w:lang w:eastAsia="he-IL"/>
        </w:rPr>
        <w:t>עובדות המקרה</w:t>
      </w:r>
    </w:p>
    <w:p w14:paraId="2BEB31FC" w14:textId="1818620F" w:rsidR="0090697F" w:rsidRDefault="0090697F" w:rsidP="00FF4525">
      <w:pPr>
        <w:pStyle w:val="ListParagraph"/>
        <w:numPr>
          <w:ilvl w:val="0"/>
          <w:numId w:val="5"/>
        </w:numPr>
        <w:tabs>
          <w:tab w:val="left" w:pos="2409"/>
          <w:tab w:val="left" w:pos="2551"/>
        </w:tabs>
        <w:spacing w:before="120" w:after="360" w:line="240" w:lineRule="auto"/>
        <w:contextualSpacing w:val="0"/>
        <w:jc w:val="both"/>
        <w:rPr>
          <w:rFonts w:ascii="David" w:eastAsia="Times New Roman" w:hAnsi="David" w:cs="David"/>
          <w:noProof/>
          <w:sz w:val="20"/>
          <w:szCs w:val="24"/>
          <w:lang w:eastAsia="he-IL"/>
        </w:rPr>
      </w:pPr>
      <w:r>
        <w:rPr>
          <w:rFonts w:ascii="David" w:eastAsia="Times New Roman" w:hAnsi="David" w:cs="David" w:hint="cs"/>
          <w:noProof/>
          <w:sz w:val="20"/>
          <w:szCs w:val="24"/>
          <w:rtl/>
          <w:lang w:eastAsia="he-IL"/>
        </w:rPr>
        <w:t xml:space="preserve">בין הצדדים התנהל הליך גירושין וביום </w:t>
      </w:r>
      <w:r w:rsidR="009F321D">
        <w:rPr>
          <w:rFonts w:ascii="David" w:eastAsia="Times New Roman" w:hAnsi="David" w:cs="David" w:hint="cs"/>
          <w:noProof/>
          <w:sz w:val="20"/>
          <w:szCs w:val="24"/>
          <w:rtl/>
          <w:lang w:eastAsia="he-IL"/>
        </w:rPr>
        <w:t>________</w:t>
      </w:r>
      <w:r>
        <w:rPr>
          <w:rFonts w:ascii="David" w:eastAsia="Times New Roman" w:hAnsi="David" w:cs="David" w:hint="cs"/>
          <w:noProof/>
          <w:sz w:val="20"/>
          <w:szCs w:val="24"/>
          <w:rtl/>
          <w:lang w:eastAsia="he-IL"/>
        </w:rPr>
        <w:t>, קיבל בית המשפט לענייני משפחה את ההסכם בין היתר בו נקבעו מזונות ילדיהם המשותפים ונתן להסכם תוקף של פסק דין.</w:t>
      </w:r>
    </w:p>
    <w:p w14:paraId="539F9742" w14:textId="05E1BA03" w:rsidR="00AA1DE0" w:rsidRDefault="00AA1DE0" w:rsidP="00FF4525">
      <w:pPr>
        <w:pStyle w:val="ListParagraph"/>
        <w:tabs>
          <w:tab w:val="left" w:pos="2409"/>
          <w:tab w:val="left" w:pos="2551"/>
        </w:tabs>
        <w:spacing w:before="120" w:after="360" w:line="240" w:lineRule="auto"/>
        <w:contextualSpacing w:val="0"/>
        <w:jc w:val="both"/>
        <w:rPr>
          <w:rFonts w:ascii="David" w:eastAsia="Times New Roman" w:hAnsi="David" w:cs="David"/>
          <w:noProof/>
          <w:sz w:val="20"/>
          <w:szCs w:val="24"/>
          <w:lang w:eastAsia="he-IL"/>
        </w:rPr>
      </w:pPr>
      <w:r>
        <w:rPr>
          <w:rFonts w:ascii="David" w:eastAsia="Times New Roman" w:hAnsi="David" w:cs="David" w:hint="cs"/>
          <w:noProof/>
          <w:sz w:val="20"/>
          <w:szCs w:val="24"/>
          <w:rtl/>
          <w:lang w:eastAsia="he-IL"/>
        </w:rPr>
        <w:t>לפי ההסכם בין היתר נקבע כי על הנתבע לשלם את מזונות ילדיו ואת המחציות כמפורט בהסכם.</w:t>
      </w:r>
    </w:p>
    <w:p w14:paraId="24C39065" w14:textId="46738386" w:rsidR="00E505C5" w:rsidRPr="00FF4525" w:rsidRDefault="00E505C5" w:rsidP="00FF4525">
      <w:pPr>
        <w:pStyle w:val="Heading1"/>
        <w:ind w:left="720"/>
        <w:jc w:val="both"/>
        <w:rPr>
          <w:rFonts w:ascii="David" w:eastAsia="Times New Roman" w:hAnsi="David" w:cs="David"/>
          <w:b/>
          <w:bCs/>
          <w:noProof/>
          <w:lang w:eastAsia="he-IL"/>
        </w:rPr>
      </w:pPr>
      <w:bookmarkStart w:id="0" w:name="_Toc43047386"/>
      <w:r w:rsidRPr="00FF4525">
        <w:rPr>
          <w:rFonts w:ascii="David" w:eastAsia="Times New Roman" w:hAnsi="David" w:cs="David"/>
          <w:b/>
          <w:bCs/>
          <w:noProof/>
          <w:color w:val="auto"/>
          <w:sz w:val="24"/>
          <w:szCs w:val="24"/>
          <w:rtl/>
          <w:lang w:eastAsia="he-IL"/>
        </w:rPr>
        <w:t xml:space="preserve">פסק הדין </w:t>
      </w:r>
      <w:r w:rsidRPr="00FF4525">
        <w:rPr>
          <w:rFonts w:ascii="David" w:eastAsia="Times New Roman" w:hAnsi="David" w:cs="David"/>
          <w:b/>
          <w:bCs/>
          <w:noProof/>
          <w:color w:val="auto"/>
          <w:sz w:val="24"/>
          <w:szCs w:val="24"/>
          <w:u w:val="single"/>
          <w:rtl/>
          <w:lang w:eastAsia="he-IL"/>
        </w:rPr>
        <w:t>מסומן באות א'</w:t>
      </w:r>
      <w:bookmarkEnd w:id="0"/>
    </w:p>
    <w:p w14:paraId="52AF5BAF" w14:textId="44221C82" w:rsidR="0090697F" w:rsidRDefault="00AA1DE0" w:rsidP="00FF4525">
      <w:pPr>
        <w:pStyle w:val="ListParagraph"/>
        <w:numPr>
          <w:ilvl w:val="0"/>
          <w:numId w:val="5"/>
        </w:numPr>
        <w:tabs>
          <w:tab w:val="left" w:pos="2409"/>
          <w:tab w:val="left" w:pos="2551"/>
        </w:tabs>
        <w:spacing w:before="120" w:after="360" w:line="240" w:lineRule="auto"/>
        <w:contextualSpacing w:val="0"/>
        <w:jc w:val="both"/>
        <w:rPr>
          <w:rFonts w:ascii="David" w:eastAsia="Times New Roman" w:hAnsi="David" w:cs="David"/>
          <w:noProof/>
          <w:sz w:val="20"/>
          <w:szCs w:val="24"/>
          <w:lang w:eastAsia="he-IL"/>
        </w:rPr>
      </w:pPr>
      <w:r>
        <w:rPr>
          <w:rFonts w:ascii="David" w:eastAsia="Times New Roman" w:hAnsi="David" w:cs="David" w:hint="cs"/>
          <w:noProof/>
          <w:sz w:val="20"/>
          <w:szCs w:val="24"/>
          <w:rtl/>
          <w:lang w:eastAsia="he-IL"/>
        </w:rPr>
        <w:t>הנתבע שלא באמת חשב לעמוד בהסכם שרק עתה קיבל תוקף של פסק דין פנה להליך פש"ר באותם ימים וביום</w:t>
      </w:r>
      <w:r w:rsidR="00E505C5">
        <w:rPr>
          <w:rFonts w:ascii="David" w:eastAsia="Times New Roman" w:hAnsi="David" w:cs="David" w:hint="cs"/>
          <w:noProof/>
          <w:sz w:val="20"/>
          <w:szCs w:val="24"/>
          <w:rtl/>
          <w:lang w:eastAsia="he-IL"/>
        </w:rPr>
        <w:t xml:space="preserve"> </w:t>
      </w:r>
      <w:r w:rsidR="009F321D">
        <w:rPr>
          <w:rFonts w:ascii="David" w:eastAsia="Times New Roman" w:hAnsi="David" w:cs="David" w:hint="cs"/>
          <w:noProof/>
          <w:sz w:val="20"/>
          <w:szCs w:val="24"/>
          <w:rtl/>
          <w:lang w:eastAsia="he-IL"/>
        </w:rPr>
        <w:t>________</w:t>
      </w:r>
      <w:r w:rsidR="00E505C5">
        <w:rPr>
          <w:rFonts w:ascii="David" w:eastAsia="Times New Roman" w:hAnsi="David" w:cs="David" w:hint="cs"/>
          <w:noProof/>
          <w:sz w:val="20"/>
          <w:szCs w:val="24"/>
          <w:rtl/>
          <w:lang w:eastAsia="he-IL"/>
        </w:rPr>
        <w:t xml:space="preserve">קיבל החייב צו כינוס בעניינו ונכנס להליך </w:t>
      </w:r>
      <w:r w:rsidR="009F321D">
        <w:rPr>
          <w:rFonts w:ascii="David" w:eastAsia="Times New Roman" w:hAnsi="David" w:cs="David" w:hint="cs"/>
          <w:noProof/>
          <w:sz w:val="20"/>
          <w:szCs w:val="24"/>
          <w:rtl/>
          <w:lang w:eastAsia="he-IL"/>
        </w:rPr>
        <w:t>_____________</w:t>
      </w:r>
      <w:r w:rsidR="00E505C5">
        <w:rPr>
          <w:rFonts w:ascii="David" w:eastAsia="Times New Roman" w:hAnsi="David" w:cs="David" w:hint="cs"/>
          <w:noProof/>
          <w:sz w:val="20"/>
          <w:szCs w:val="24"/>
          <w:rtl/>
          <w:lang w:eastAsia="he-IL"/>
        </w:rPr>
        <w:t xml:space="preserve">, ונקצבו לו מזונות ילדיו בסך </w:t>
      </w:r>
      <w:r w:rsidR="009F321D">
        <w:rPr>
          <w:rFonts w:ascii="David" w:eastAsia="Times New Roman" w:hAnsi="David" w:cs="David" w:hint="cs"/>
          <w:noProof/>
          <w:sz w:val="20"/>
          <w:szCs w:val="24"/>
          <w:rtl/>
          <w:lang w:eastAsia="he-IL"/>
        </w:rPr>
        <w:t>___________</w:t>
      </w:r>
      <w:r w:rsidR="00E505C5">
        <w:rPr>
          <w:rFonts w:ascii="David" w:eastAsia="Times New Roman" w:hAnsi="David" w:cs="David" w:hint="cs"/>
          <w:noProof/>
          <w:sz w:val="20"/>
          <w:szCs w:val="24"/>
          <w:rtl/>
          <w:lang w:eastAsia="he-IL"/>
        </w:rPr>
        <w:t xml:space="preserve"> ₪ מידי חודש.</w:t>
      </w:r>
    </w:p>
    <w:p w14:paraId="795294C3" w14:textId="63942C47" w:rsidR="00E505C5" w:rsidRPr="00FF4525" w:rsidRDefault="00E505C5" w:rsidP="00FF4525">
      <w:pPr>
        <w:pStyle w:val="Heading1"/>
        <w:ind w:left="720"/>
        <w:jc w:val="both"/>
        <w:rPr>
          <w:rFonts w:ascii="David" w:eastAsia="Times New Roman" w:hAnsi="David" w:cs="David"/>
          <w:b/>
          <w:bCs/>
          <w:noProof/>
          <w:color w:val="auto"/>
          <w:sz w:val="24"/>
          <w:szCs w:val="24"/>
          <w:u w:val="single"/>
          <w:lang w:eastAsia="he-IL"/>
        </w:rPr>
      </w:pPr>
      <w:bookmarkStart w:id="1" w:name="_Toc43047387"/>
      <w:r w:rsidRPr="00FF4525">
        <w:rPr>
          <w:rFonts w:ascii="David" w:eastAsia="Times New Roman" w:hAnsi="David" w:cs="David"/>
          <w:b/>
          <w:bCs/>
          <w:noProof/>
          <w:color w:val="auto"/>
          <w:sz w:val="24"/>
          <w:szCs w:val="24"/>
          <w:rtl/>
          <w:lang w:eastAsia="he-IL"/>
        </w:rPr>
        <w:t xml:space="preserve">החלטה בקציבת המזונות </w:t>
      </w:r>
      <w:r w:rsidRPr="00FF4525">
        <w:rPr>
          <w:rFonts w:ascii="David" w:eastAsia="Times New Roman" w:hAnsi="David" w:cs="David"/>
          <w:b/>
          <w:bCs/>
          <w:noProof/>
          <w:color w:val="auto"/>
          <w:sz w:val="24"/>
          <w:szCs w:val="24"/>
          <w:u w:val="single"/>
          <w:rtl/>
          <w:lang w:eastAsia="he-IL"/>
        </w:rPr>
        <w:t>מסומ</w:t>
      </w:r>
      <w:r w:rsidR="00FF4525" w:rsidRPr="00FF4525">
        <w:rPr>
          <w:rFonts w:ascii="David" w:eastAsia="Times New Roman" w:hAnsi="David" w:cs="David" w:hint="cs"/>
          <w:b/>
          <w:bCs/>
          <w:noProof/>
          <w:color w:val="auto"/>
          <w:sz w:val="24"/>
          <w:szCs w:val="24"/>
          <w:u w:val="single"/>
          <w:rtl/>
          <w:lang w:eastAsia="he-IL"/>
        </w:rPr>
        <w:t>נת</w:t>
      </w:r>
      <w:r w:rsidRPr="00FF4525">
        <w:rPr>
          <w:rFonts w:ascii="David" w:eastAsia="Times New Roman" w:hAnsi="David" w:cs="David"/>
          <w:b/>
          <w:bCs/>
          <w:noProof/>
          <w:color w:val="auto"/>
          <w:sz w:val="24"/>
          <w:szCs w:val="24"/>
          <w:u w:val="single"/>
          <w:rtl/>
          <w:lang w:eastAsia="he-IL"/>
        </w:rPr>
        <w:t xml:space="preserve"> באות ב'</w:t>
      </w:r>
      <w:bookmarkEnd w:id="1"/>
    </w:p>
    <w:p w14:paraId="3FF986D8" w14:textId="493ADB3B" w:rsidR="00E505C5" w:rsidRPr="00E505C5" w:rsidRDefault="00E505C5" w:rsidP="00FF4525">
      <w:pPr>
        <w:pStyle w:val="ListParagraph"/>
        <w:numPr>
          <w:ilvl w:val="0"/>
          <w:numId w:val="5"/>
        </w:numPr>
        <w:tabs>
          <w:tab w:val="left" w:pos="2409"/>
          <w:tab w:val="left" w:pos="2551"/>
        </w:tabs>
        <w:spacing w:before="120" w:after="360" w:line="240" w:lineRule="auto"/>
        <w:contextualSpacing w:val="0"/>
        <w:jc w:val="both"/>
        <w:rPr>
          <w:rFonts w:ascii="David" w:eastAsia="Times New Roman" w:hAnsi="David" w:cs="David"/>
          <w:noProof/>
          <w:sz w:val="20"/>
          <w:szCs w:val="24"/>
          <w:lang w:eastAsia="he-IL"/>
        </w:rPr>
      </w:pPr>
      <w:r>
        <w:rPr>
          <w:rFonts w:ascii="David" w:eastAsia="Times New Roman" w:hAnsi="David" w:cs="David" w:hint="cs"/>
          <w:noProof/>
          <w:sz w:val="20"/>
          <w:szCs w:val="24"/>
          <w:rtl/>
          <w:lang w:eastAsia="he-IL"/>
        </w:rPr>
        <w:t>בתקופת היותו של החייב בפש"ר צבר הפרשים רבים</w:t>
      </w:r>
      <w:r w:rsidR="00AA1DE0">
        <w:rPr>
          <w:rFonts w:ascii="David" w:eastAsia="Times New Roman" w:hAnsi="David" w:cs="David" w:hint="cs"/>
          <w:noProof/>
          <w:sz w:val="20"/>
          <w:szCs w:val="24"/>
          <w:rtl/>
          <w:lang w:eastAsia="he-IL"/>
        </w:rPr>
        <w:t xml:space="preserve"> הפער בין דמי המזונות הקצובים לדמי המזונות שנפסקו על ידי בית המשפט</w:t>
      </w:r>
      <w:r>
        <w:rPr>
          <w:rFonts w:ascii="David" w:eastAsia="Times New Roman" w:hAnsi="David" w:cs="David" w:hint="cs"/>
          <w:noProof/>
          <w:sz w:val="20"/>
          <w:szCs w:val="24"/>
          <w:rtl/>
          <w:lang w:eastAsia="he-IL"/>
        </w:rPr>
        <w:t xml:space="preserve"> ורק ביום </w:t>
      </w:r>
      <w:r w:rsidR="009F321D">
        <w:rPr>
          <w:rFonts w:ascii="David" w:eastAsia="Times New Roman" w:hAnsi="David" w:cs="David" w:hint="cs"/>
          <w:noProof/>
          <w:sz w:val="20"/>
          <w:szCs w:val="24"/>
          <w:rtl/>
          <w:lang w:eastAsia="he-IL"/>
        </w:rPr>
        <w:t>_______________</w:t>
      </w:r>
      <w:r>
        <w:rPr>
          <w:rFonts w:ascii="David" w:eastAsia="Times New Roman" w:hAnsi="David" w:cs="David" w:hint="cs"/>
          <w:noProof/>
          <w:sz w:val="20"/>
          <w:szCs w:val="24"/>
          <w:rtl/>
          <w:lang w:eastAsia="he-IL"/>
        </w:rPr>
        <w:t>, קיבל הפטר חלוט (זאת מעיון באתר הכונס הרשמי).</w:t>
      </w:r>
    </w:p>
    <w:p w14:paraId="37A609AD" w14:textId="1A98662A" w:rsidR="00E505C5" w:rsidRPr="00FF4525" w:rsidRDefault="00E505C5" w:rsidP="00FF4525">
      <w:pPr>
        <w:pStyle w:val="Heading1"/>
        <w:ind w:left="720"/>
        <w:jc w:val="both"/>
        <w:rPr>
          <w:rFonts w:ascii="David" w:eastAsia="Times New Roman" w:hAnsi="David" w:cs="David"/>
          <w:b/>
          <w:bCs/>
          <w:noProof/>
          <w:color w:val="auto"/>
          <w:sz w:val="24"/>
          <w:szCs w:val="24"/>
          <w:lang w:eastAsia="he-IL"/>
        </w:rPr>
      </w:pPr>
      <w:bookmarkStart w:id="2" w:name="_Toc43047388"/>
      <w:r w:rsidRPr="00FF4525">
        <w:rPr>
          <w:rFonts w:ascii="David" w:eastAsia="Times New Roman" w:hAnsi="David" w:cs="David"/>
          <w:b/>
          <w:bCs/>
          <w:noProof/>
          <w:color w:val="auto"/>
          <w:sz w:val="24"/>
          <w:szCs w:val="24"/>
          <w:rtl/>
          <w:lang w:eastAsia="he-IL"/>
        </w:rPr>
        <w:t xml:space="preserve">דוח </w:t>
      </w:r>
      <w:r w:rsidR="00FF4525" w:rsidRPr="00FF4525">
        <w:rPr>
          <w:rFonts w:ascii="David" w:eastAsia="Times New Roman" w:hAnsi="David" w:cs="David" w:hint="cs"/>
          <w:b/>
          <w:bCs/>
          <w:noProof/>
          <w:color w:val="auto"/>
          <w:sz w:val="24"/>
          <w:szCs w:val="24"/>
          <w:rtl/>
          <w:lang w:eastAsia="he-IL"/>
        </w:rPr>
        <w:t>ה</w:t>
      </w:r>
      <w:r w:rsidRPr="00FF4525">
        <w:rPr>
          <w:rFonts w:ascii="David" w:eastAsia="Times New Roman" w:hAnsi="David" w:cs="David"/>
          <w:b/>
          <w:bCs/>
          <w:noProof/>
          <w:color w:val="auto"/>
          <w:sz w:val="24"/>
          <w:szCs w:val="24"/>
          <w:rtl/>
          <w:lang w:eastAsia="he-IL"/>
        </w:rPr>
        <w:t xml:space="preserve">כונס </w:t>
      </w:r>
      <w:r w:rsidR="00FF4525" w:rsidRPr="00FF4525">
        <w:rPr>
          <w:rFonts w:ascii="David" w:eastAsia="Times New Roman" w:hAnsi="David" w:cs="David" w:hint="cs"/>
          <w:b/>
          <w:bCs/>
          <w:noProof/>
          <w:color w:val="auto"/>
          <w:sz w:val="24"/>
          <w:szCs w:val="24"/>
          <w:rtl/>
          <w:lang w:eastAsia="he-IL"/>
        </w:rPr>
        <w:t>ה</w:t>
      </w:r>
      <w:r w:rsidRPr="00FF4525">
        <w:rPr>
          <w:rFonts w:ascii="David" w:eastAsia="Times New Roman" w:hAnsi="David" w:cs="David"/>
          <w:b/>
          <w:bCs/>
          <w:noProof/>
          <w:color w:val="auto"/>
          <w:sz w:val="24"/>
          <w:szCs w:val="24"/>
          <w:rtl/>
          <w:lang w:eastAsia="he-IL"/>
        </w:rPr>
        <w:t xml:space="preserve">רשמי </w:t>
      </w:r>
      <w:r w:rsidRPr="00FF4525">
        <w:rPr>
          <w:rFonts w:ascii="David" w:eastAsia="Times New Roman" w:hAnsi="David" w:cs="David"/>
          <w:b/>
          <w:bCs/>
          <w:noProof/>
          <w:color w:val="auto"/>
          <w:sz w:val="24"/>
          <w:szCs w:val="24"/>
          <w:u w:val="single"/>
          <w:rtl/>
          <w:lang w:eastAsia="he-IL"/>
        </w:rPr>
        <w:t>מסומן באות ג'</w:t>
      </w:r>
      <w:bookmarkEnd w:id="2"/>
    </w:p>
    <w:p w14:paraId="15551AEA" w14:textId="4B0F7AEA" w:rsidR="0090697F" w:rsidRPr="00FF4525" w:rsidRDefault="0090697F" w:rsidP="00FF4525">
      <w:pPr>
        <w:pStyle w:val="ListParagraph"/>
        <w:tabs>
          <w:tab w:val="left" w:pos="2409"/>
          <w:tab w:val="left" w:pos="2551"/>
        </w:tabs>
        <w:spacing w:before="120" w:after="360" w:line="240" w:lineRule="auto"/>
        <w:contextualSpacing w:val="0"/>
        <w:jc w:val="both"/>
        <w:rPr>
          <w:rFonts w:ascii="David" w:eastAsia="Times New Roman" w:hAnsi="David" w:cs="David"/>
          <w:b/>
          <w:bCs/>
          <w:noProof/>
          <w:sz w:val="20"/>
          <w:szCs w:val="24"/>
          <w:lang w:eastAsia="he-IL"/>
        </w:rPr>
      </w:pPr>
      <w:r w:rsidRPr="00FF4525">
        <w:rPr>
          <w:rFonts w:ascii="David" w:eastAsia="Times New Roman" w:hAnsi="David" w:cs="David" w:hint="cs"/>
          <w:b/>
          <w:bCs/>
          <w:noProof/>
          <w:sz w:val="20"/>
          <w:szCs w:val="24"/>
          <w:rtl/>
          <w:lang w:eastAsia="he-IL"/>
        </w:rPr>
        <w:t xml:space="preserve"> </w:t>
      </w:r>
    </w:p>
    <w:p w14:paraId="70108CF2" w14:textId="52C77BF7" w:rsidR="00644C59" w:rsidRPr="00D95178" w:rsidRDefault="00AA1DE0" w:rsidP="00FF4525">
      <w:pPr>
        <w:pStyle w:val="ListParagraph"/>
        <w:numPr>
          <w:ilvl w:val="0"/>
          <w:numId w:val="5"/>
        </w:numPr>
        <w:tabs>
          <w:tab w:val="left" w:pos="2409"/>
          <w:tab w:val="left" w:pos="2551"/>
        </w:tabs>
        <w:spacing w:before="120" w:after="360" w:line="240" w:lineRule="auto"/>
        <w:contextualSpacing w:val="0"/>
        <w:jc w:val="both"/>
        <w:rPr>
          <w:rFonts w:ascii="David" w:eastAsia="Times New Roman" w:hAnsi="David" w:cs="David"/>
          <w:b/>
          <w:bCs/>
          <w:noProof/>
          <w:sz w:val="20"/>
          <w:szCs w:val="24"/>
          <w:lang w:eastAsia="he-IL"/>
        </w:rPr>
      </w:pPr>
      <w:r>
        <w:rPr>
          <w:rFonts w:ascii="David" w:eastAsia="Times New Roman" w:hAnsi="David" w:cs="David" w:hint="cs"/>
          <w:noProof/>
          <w:sz w:val="20"/>
          <w:szCs w:val="24"/>
          <w:rtl/>
          <w:lang w:eastAsia="he-IL"/>
        </w:rPr>
        <w:lastRenderedPageBreak/>
        <w:t xml:space="preserve">הזוכה כאשר הבינה כי החייב סיים את הליך הפש"ר פנתה לייצוג משפטי ומאחר ותקופת הקורונה לא ניתן היה להגיש את התיק בפועל נפתח תיק ההוצל"פ </w:t>
      </w:r>
      <w:r w:rsidR="0013306E" w:rsidRPr="00E505C5">
        <w:rPr>
          <w:rFonts w:ascii="David" w:eastAsia="Times New Roman" w:hAnsi="David" w:cs="David"/>
          <w:noProof/>
          <w:sz w:val="20"/>
          <w:szCs w:val="24"/>
          <w:rtl/>
          <w:lang w:eastAsia="he-IL"/>
        </w:rPr>
        <w:t xml:space="preserve">ביום </w:t>
      </w:r>
      <w:r w:rsidR="009F321D">
        <w:rPr>
          <w:rFonts w:ascii="David" w:eastAsia="Times New Roman" w:hAnsi="David" w:cs="David" w:hint="cs"/>
          <w:noProof/>
          <w:sz w:val="20"/>
          <w:szCs w:val="24"/>
          <w:rtl/>
          <w:lang w:eastAsia="he-IL"/>
        </w:rPr>
        <w:t>_____________</w:t>
      </w:r>
      <w:r w:rsidR="0013306E" w:rsidRPr="00E505C5">
        <w:rPr>
          <w:rFonts w:ascii="David" w:eastAsia="Times New Roman" w:hAnsi="David" w:cs="David"/>
          <w:noProof/>
          <w:sz w:val="20"/>
          <w:szCs w:val="24"/>
          <w:rtl/>
          <w:lang w:eastAsia="he-IL"/>
        </w:rPr>
        <w:t xml:space="preserve">, </w:t>
      </w:r>
      <w:r w:rsidR="00E505C5" w:rsidRPr="00E505C5">
        <w:rPr>
          <w:rFonts w:ascii="David" w:eastAsia="Times New Roman" w:hAnsi="David" w:cs="David" w:hint="cs"/>
          <w:noProof/>
          <w:sz w:val="20"/>
          <w:szCs w:val="24"/>
          <w:rtl/>
          <w:lang w:eastAsia="he-IL"/>
        </w:rPr>
        <w:t>בקשה לפתיחת תיק מזונות עבור השנתיים האחרונות ו</w:t>
      </w:r>
      <w:r w:rsidR="0013306E" w:rsidRPr="00E505C5">
        <w:rPr>
          <w:rFonts w:ascii="David" w:eastAsia="Times New Roman" w:hAnsi="David" w:cs="David"/>
          <w:noProof/>
          <w:sz w:val="20"/>
          <w:szCs w:val="24"/>
          <w:rtl/>
          <w:lang w:eastAsia="he-IL"/>
        </w:rPr>
        <w:t xml:space="preserve">מספרו </w:t>
      </w:r>
      <w:r w:rsidR="009F321D">
        <w:rPr>
          <w:rFonts w:ascii="David" w:eastAsia="Times New Roman" w:hAnsi="David" w:cs="David" w:hint="cs"/>
          <w:noProof/>
          <w:sz w:val="20"/>
          <w:szCs w:val="24"/>
          <w:rtl/>
          <w:lang w:eastAsia="he-IL"/>
        </w:rPr>
        <w:t>___________</w:t>
      </w:r>
      <w:r w:rsidR="0013306E" w:rsidRPr="00E505C5">
        <w:rPr>
          <w:rFonts w:ascii="David" w:eastAsia="Times New Roman" w:hAnsi="David" w:cs="David"/>
          <w:noProof/>
          <w:sz w:val="20"/>
          <w:szCs w:val="24"/>
          <w:rtl/>
          <w:lang w:eastAsia="he-IL"/>
        </w:rPr>
        <w:t xml:space="preserve">, </w:t>
      </w:r>
      <w:r w:rsidR="00E505C5" w:rsidRPr="00E505C5">
        <w:rPr>
          <w:rFonts w:ascii="David" w:eastAsia="Times New Roman" w:hAnsi="David" w:cs="David" w:hint="cs"/>
          <w:noProof/>
          <w:sz w:val="20"/>
          <w:szCs w:val="24"/>
          <w:rtl/>
          <w:lang w:eastAsia="he-IL"/>
        </w:rPr>
        <w:t xml:space="preserve">אך בקשותיה לתשלום הפרש דמי המזונות בתקופה </w:t>
      </w:r>
      <w:r>
        <w:rPr>
          <w:rFonts w:ascii="David" w:eastAsia="Times New Roman" w:hAnsi="David" w:cs="David" w:hint="cs"/>
          <w:noProof/>
          <w:sz w:val="20"/>
          <w:szCs w:val="24"/>
          <w:rtl/>
          <w:lang w:eastAsia="he-IL"/>
        </w:rPr>
        <w:t xml:space="preserve">שבין יום </w:t>
      </w:r>
      <w:r w:rsidR="009F321D">
        <w:rPr>
          <w:rFonts w:ascii="David" w:eastAsia="Times New Roman" w:hAnsi="David" w:cs="David" w:hint="cs"/>
          <w:noProof/>
          <w:sz w:val="20"/>
          <w:szCs w:val="24"/>
          <w:rtl/>
          <w:lang w:eastAsia="he-IL"/>
        </w:rPr>
        <w:t>_________</w:t>
      </w:r>
      <w:r>
        <w:rPr>
          <w:rFonts w:ascii="David" w:eastAsia="Times New Roman" w:hAnsi="David" w:cs="David" w:hint="cs"/>
          <w:noProof/>
          <w:sz w:val="20"/>
          <w:szCs w:val="24"/>
          <w:rtl/>
          <w:lang w:eastAsia="he-IL"/>
        </w:rPr>
        <w:t xml:space="preserve"> ועד ליום </w:t>
      </w:r>
      <w:r w:rsidR="009F321D">
        <w:rPr>
          <w:rFonts w:ascii="David" w:eastAsia="Times New Roman" w:hAnsi="David" w:cs="David" w:hint="cs"/>
          <w:noProof/>
          <w:sz w:val="20"/>
          <w:szCs w:val="24"/>
          <w:rtl/>
          <w:lang w:eastAsia="he-IL"/>
        </w:rPr>
        <w:t>___________</w:t>
      </w:r>
      <w:r>
        <w:rPr>
          <w:rFonts w:ascii="David" w:eastAsia="Times New Roman" w:hAnsi="David" w:cs="David" w:hint="cs"/>
          <w:noProof/>
          <w:sz w:val="20"/>
          <w:szCs w:val="24"/>
          <w:rtl/>
          <w:lang w:eastAsia="he-IL"/>
        </w:rPr>
        <w:t xml:space="preserve"> </w:t>
      </w:r>
      <w:r w:rsidR="00E2702E">
        <w:rPr>
          <w:rFonts w:ascii="David" w:eastAsia="Times New Roman" w:hAnsi="David" w:cs="David" w:hint="cs"/>
          <w:noProof/>
          <w:sz w:val="20"/>
          <w:szCs w:val="24"/>
          <w:rtl/>
          <w:lang w:eastAsia="he-IL"/>
        </w:rPr>
        <w:t xml:space="preserve">ולעניין המחציות עד ליום </w:t>
      </w:r>
      <w:r w:rsidR="009F321D">
        <w:rPr>
          <w:rFonts w:ascii="David" w:eastAsia="Times New Roman" w:hAnsi="David" w:cs="David" w:hint="cs"/>
          <w:noProof/>
          <w:sz w:val="20"/>
          <w:szCs w:val="24"/>
          <w:rtl/>
          <w:lang w:eastAsia="he-IL"/>
        </w:rPr>
        <w:t>___________</w:t>
      </w:r>
      <w:r w:rsidR="00E2702E">
        <w:rPr>
          <w:rFonts w:ascii="David" w:eastAsia="Times New Roman" w:hAnsi="David" w:cs="David" w:hint="cs"/>
          <w:noProof/>
          <w:sz w:val="20"/>
          <w:szCs w:val="24"/>
          <w:rtl/>
          <w:lang w:eastAsia="he-IL"/>
        </w:rPr>
        <w:t xml:space="preserve"> בחלק הארי</w:t>
      </w:r>
      <w:r w:rsidR="00E505C5" w:rsidRPr="00E505C5">
        <w:rPr>
          <w:rFonts w:ascii="David" w:eastAsia="Times New Roman" w:hAnsi="David" w:cs="David" w:hint="cs"/>
          <w:noProof/>
          <w:sz w:val="20"/>
          <w:szCs w:val="24"/>
          <w:rtl/>
          <w:lang w:eastAsia="he-IL"/>
        </w:rPr>
        <w:t xml:space="preserve"> היה </w:t>
      </w:r>
      <w:r>
        <w:rPr>
          <w:rFonts w:ascii="David" w:eastAsia="Times New Roman" w:hAnsi="David" w:cs="David" w:hint="cs"/>
          <w:noProof/>
          <w:sz w:val="20"/>
          <w:szCs w:val="24"/>
          <w:rtl/>
          <w:lang w:eastAsia="he-IL"/>
        </w:rPr>
        <w:t>בהליך ה</w:t>
      </w:r>
      <w:r w:rsidR="00E505C5" w:rsidRPr="00E505C5">
        <w:rPr>
          <w:rFonts w:ascii="David" w:eastAsia="Times New Roman" w:hAnsi="David" w:cs="David" w:hint="cs"/>
          <w:noProof/>
          <w:sz w:val="20"/>
          <w:szCs w:val="24"/>
          <w:rtl/>
          <w:lang w:eastAsia="he-IL"/>
        </w:rPr>
        <w:t xml:space="preserve">פש"ר </w:t>
      </w:r>
      <w:r w:rsidR="00E2702E">
        <w:rPr>
          <w:rFonts w:ascii="David" w:eastAsia="Times New Roman" w:hAnsi="David" w:cs="David" w:hint="cs"/>
          <w:noProof/>
          <w:sz w:val="20"/>
          <w:szCs w:val="24"/>
          <w:rtl/>
          <w:lang w:eastAsia="he-IL"/>
        </w:rPr>
        <w:t>וזוהי הסיבה</w:t>
      </w:r>
      <w:r w:rsidR="00C31F46">
        <w:rPr>
          <w:rFonts w:ascii="David" w:eastAsia="Times New Roman" w:hAnsi="David" w:cs="David" w:hint="cs"/>
          <w:noProof/>
          <w:sz w:val="20"/>
          <w:szCs w:val="24"/>
          <w:rtl/>
          <w:lang w:eastAsia="he-IL"/>
        </w:rPr>
        <w:t xml:space="preserve"> </w:t>
      </w:r>
      <w:r w:rsidR="00E505C5" w:rsidRPr="00E505C5">
        <w:rPr>
          <w:rFonts w:ascii="David" w:eastAsia="Times New Roman" w:hAnsi="David" w:cs="David" w:hint="cs"/>
          <w:noProof/>
          <w:sz w:val="20"/>
          <w:szCs w:val="24"/>
          <w:rtl/>
          <w:lang w:eastAsia="he-IL"/>
        </w:rPr>
        <w:t xml:space="preserve">לא </w:t>
      </w:r>
      <w:r w:rsidR="00E505C5">
        <w:rPr>
          <w:rFonts w:ascii="David" w:eastAsia="Times New Roman" w:hAnsi="David" w:cs="David" w:hint="cs"/>
          <w:noProof/>
          <w:sz w:val="20"/>
          <w:szCs w:val="24"/>
          <w:rtl/>
          <w:lang w:eastAsia="he-IL"/>
        </w:rPr>
        <w:t>הוגדלו.</w:t>
      </w:r>
    </w:p>
    <w:p w14:paraId="13588AAB" w14:textId="4BC6FE3D" w:rsidR="00D95178" w:rsidRPr="00FF4525" w:rsidRDefault="00D95178" w:rsidP="00FF4525">
      <w:pPr>
        <w:pStyle w:val="Heading1"/>
        <w:ind w:left="720"/>
        <w:jc w:val="both"/>
        <w:rPr>
          <w:rFonts w:ascii="David" w:eastAsia="Times New Roman" w:hAnsi="David" w:cs="David"/>
          <w:b/>
          <w:bCs/>
          <w:noProof/>
          <w:color w:val="auto"/>
          <w:sz w:val="24"/>
          <w:szCs w:val="24"/>
          <w:lang w:eastAsia="he-IL"/>
        </w:rPr>
      </w:pPr>
      <w:bookmarkStart w:id="3" w:name="_Toc43047389"/>
      <w:r w:rsidRPr="00FF4525">
        <w:rPr>
          <w:rFonts w:ascii="David" w:eastAsia="Times New Roman" w:hAnsi="David" w:cs="David"/>
          <w:b/>
          <w:bCs/>
          <w:noProof/>
          <w:color w:val="auto"/>
          <w:sz w:val="24"/>
          <w:szCs w:val="24"/>
          <w:rtl/>
          <w:lang w:eastAsia="he-IL"/>
        </w:rPr>
        <w:t xml:space="preserve">טבלה </w:t>
      </w:r>
      <w:r w:rsidR="00930360">
        <w:rPr>
          <w:rFonts w:ascii="David" w:eastAsia="Times New Roman" w:hAnsi="David" w:cs="David" w:hint="cs"/>
          <w:b/>
          <w:bCs/>
          <w:noProof/>
          <w:color w:val="auto"/>
          <w:sz w:val="24"/>
          <w:szCs w:val="24"/>
          <w:rtl/>
          <w:lang w:eastAsia="he-IL"/>
        </w:rPr>
        <w:t xml:space="preserve">בפורמט של ההוצאה לפועל בגין חובות הנתבע כלפי התובעת עבור דמי מזונות בסך של </w:t>
      </w:r>
      <w:r w:rsidR="009F321D">
        <w:rPr>
          <w:rFonts w:ascii="David" w:eastAsia="Times New Roman" w:hAnsi="David" w:cs="David" w:hint="cs"/>
          <w:b/>
          <w:bCs/>
          <w:noProof/>
          <w:color w:val="auto"/>
          <w:sz w:val="24"/>
          <w:szCs w:val="24"/>
          <w:rtl/>
          <w:lang w:eastAsia="he-IL"/>
        </w:rPr>
        <w:t>____________</w:t>
      </w:r>
      <w:r w:rsidR="00930360">
        <w:rPr>
          <w:rFonts w:ascii="David" w:eastAsia="Times New Roman" w:hAnsi="David" w:cs="David" w:hint="cs"/>
          <w:b/>
          <w:bCs/>
          <w:noProof/>
          <w:color w:val="auto"/>
          <w:sz w:val="24"/>
          <w:szCs w:val="24"/>
          <w:rtl/>
          <w:lang w:eastAsia="he-IL"/>
        </w:rPr>
        <w:t xml:space="preserve"> ₪, </w:t>
      </w:r>
      <w:r w:rsidRPr="00FF4525">
        <w:rPr>
          <w:rFonts w:ascii="David" w:eastAsia="Times New Roman" w:hAnsi="David" w:cs="David"/>
          <w:b/>
          <w:bCs/>
          <w:noProof/>
          <w:color w:val="auto"/>
          <w:sz w:val="24"/>
          <w:szCs w:val="24"/>
          <w:u w:val="single"/>
          <w:rtl/>
          <w:lang w:eastAsia="he-IL"/>
        </w:rPr>
        <w:t>מסומ</w:t>
      </w:r>
      <w:r w:rsidR="00FF4525" w:rsidRPr="00FF4525">
        <w:rPr>
          <w:rFonts w:ascii="David" w:eastAsia="Times New Roman" w:hAnsi="David" w:cs="David" w:hint="cs"/>
          <w:b/>
          <w:bCs/>
          <w:noProof/>
          <w:color w:val="auto"/>
          <w:sz w:val="24"/>
          <w:szCs w:val="24"/>
          <w:u w:val="single"/>
          <w:rtl/>
          <w:lang w:eastAsia="he-IL"/>
        </w:rPr>
        <w:t>נת</w:t>
      </w:r>
      <w:r w:rsidRPr="00FF4525">
        <w:rPr>
          <w:rFonts w:ascii="David" w:eastAsia="Times New Roman" w:hAnsi="David" w:cs="David"/>
          <w:b/>
          <w:bCs/>
          <w:noProof/>
          <w:color w:val="auto"/>
          <w:sz w:val="24"/>
          <w:szCs w:val="24"/>
          <w:u w:val="single"/>
          <w:rtl/>
          <w:lang w:eastAsia="he-IL"/>
        </w:rPr>
        <w:t xml:space="preserve"> באות ד'</w:t>
      </w:r>
      <w:bookmarkEnd w:id="3"/>
    </w:p>
    <w:p w14:paraId="097925C5" w14:textId="72FF18E7" w:rsidR="00D95178" w:rsidRPr="00FF4525" w:rsidRDefault="00930360" w:rsidP="00FF4525">
      <w:pPr>
        <w:pStyle w:val="Heading1"/>
        <w:ind w:left="720"/>
        <w:jc w:val="both"/>
        <w:rPr>
          <w:rFonts w:eastAsia="Times New Roman"/>
          <w:b/>
          <w:bCs/>
          <w:noProof/>
          <w:lang w:eastAsia="he-IL"/>
        </w:rPr>
      </w:pPr>
      <w:bookmarkStart w:id="4" w:name="_Toc43047390"/>
      <w:r w:rsidRPr="00FF4525">
        <w:rPr>
          <w:rFonts w:ascii="David" w:eastAsia="Times New Roman" w:hAnsi="David" w:cs="David"/>
          <w:b/>
          <w:bCs/>
          <w:noProof/>
          <w:color w:val="auto"/>
          <w:sz w:val="24"/>
          <w:szCs w:val="24"/>
          <w:rtl/>
          <w:lang w:eastAsia="he-IL"/>
        </w:rPr>
        <w:t xml:space="preserve">טבלה </w:t>
      </w:r>
      <w:r>
        <w:rPr>
          <w:rFonts w:ascii="David" w:eastAsia="Times New Roman" w:hAnsi="David" w:cs="David" w:hint="cs"/>
          <w:b/>
          <w:bCs/>
          <w:noProof/>
          <w:color w:val="auto"/>
          <w:sz w:val="24"/>
          <w:szCs w:val="24"/>
          <w:rtl/>
          <w:lang w:eastAsia="he-IL"/>
        </w:rPr>
        <w:t xml:space="preserve">בפורמט של ההוצאה לפועל בגין חובות הנתבע כלפי התובעת עבור מחציות בסך של </w:t>
      </w:r>
      <w:r w:rsidR="009F321D">
        <w:rPr>
          <w:rFonts w:ascii="David" w:eastAsia="Times New Roman" w:hAnsi="David" w:cs="David" w:hint="cs"/>
          <w:b/>
          <w:bCs/>
          <w:noProof/>
          <w:color w:val="auto"/>
          <w:sz w:val="24"/>
          <w:szCs w:val="24"/>
          <w:rtl/>
          <w:lang w:eastAsia="he-IL"/>
        </w:rPr>
        <w:t>_____________</w:t>
      </w:r>
      <w:r>
        <w:rPr>
          <w:rFonts w:ascii="David" w:eastAsia="Times New Roman" w:hAnsi="David" w:cs="David" w:hint="cs"/>
          <w:b/>
          <w:bCs/>
          <w:noProof/>
          <w:color w:val="auto"/>
          <w:sz w:val="24"/>
          <w:szCs w:val="24"/>
          <w:rtl/>
          <w:lang w:eastAsia="he-IL"/>
        </w:rPr>
        <w:t xml:space="preserve"> ₪, </w:t>
      </w:r>
      <w:r w:rsidR="00D95178" w:rsidRPr="00FF4525">
        <w:rPr>
          <w:rFonts w:ascii="David" w:eastAsia="Times New Roman" w:hAnsi="David" w:cs="David"/>
          <w:b/>
          <w:bCs/>
          <w:noProof/>
          <w:color w:val="auto"/>
          <w:sz w:val="24"/>
          <w:szCs w:val="24"/>
          <w:u w:val="single"/>
          <w:rtl/>
          <w:lang w:eastAsia="he-IL"/>
        </w:rPr>
        <w:t>מסומ</w:t>
      </w:r>
      <w:r w:rsidR="00FF4525" w:rsidRPr="00FF4525">
        <w:rPr>
          <w:rFonts w:ascii="David" w:eastAsia="Times New Roman" w:hAnsi="David" w:cs="David" w:hint="cs"/>
          <w:b/>
          <w:bCs/>
          <w:noProof/>
          <w:color w:val="auto"/>
          <w:sz w:val="24"/>
          <w:szCs w:val="24"/>
          <w:u w:val="single"/>
          <w:rtl/>
          <w:lang w:eastAsia="he-IL"/>
        </w:rPr>
        <w:t>נת</w:t>
      </w:r>
      <w:r w:rsidR="00D95178" w:rsidRPr="00FF4525">
        <w:rPr>
          <w:rFonts w:ascii="David" w:eastAsia="Times New Roman" w:hAnsi="David" w:cs="David"/>
          <w:b/>
          <w:bCs/>
          <w:noProof/>
          <w:color w:val="auto"/>
          <w:sz w:val="24"/>
          <w:szCs w:val="24"/>
          <w:u w:val="single"/>
          <w:rtl/>
          <w:lang w:eastAsia="he-IL"/>
        </w:rPr>
        <w:t xml:space="preserve"> באות ה'</w:t>
      </w:r>
      <w:bookmarkEnd w:id="4"/>
    </w:p>
    <w:p w14:paraId="45FC1720" w14:textId="77777777" w:rsidR="00644C59" w:rsidRPr="00DB7AA7" w:rsidRDefault="0013306E" w:rsidP="00FF4525">
      <w:pPr>
        <w:pStyle w:val="ListParagraph"/>
        <w:numPr>
          <w:ilvl w:val="0"/>
          <w:numId w:val="6"/>
        </w:numPr>
        <w:tabs>
          <w:tab w:val="left" w:pos="2409"/>
          <w:tab w:val="left" w:pos="2551"/>
        </w:tabs>
        <w:spacing w:before="120" w:after="360" w:line="240" w:lineRule="auto"/>
        <w:ind w:left="476" w:hanging="450"/>
        <w:contextualSpacing w:val="0"/>
        <w:jc w:val="both"/>
        <w:rPr>
          <w:rFonts w:ascii="David" w:eastAsia="Times New Roman" w:hAnsi="David" w:cs="David"/>
          <w:b/>
          <w:bCs/>
          <w:noProof/>
          <w:sz w:val="20"/>
          <w:szCs w:val="24"/>
          <w:u w:val="single"/>
          <w:lang w:eastAsia="he-IL"/>
        </w:rPr>
      </w:pPr>
      <w:r w:rsidRPr="00DB7AA7">
        <w:rPr>
          <w:rFonts w:ascii="David" w:eastAsia="Times New Roman" w:hAnsi="David" w:cs="David"/>
          <w:b/>
          <w:bCs/>
          <w:noProof/>
          <w:sz w:val="20"/>
          <w:szCs w:val="24"/>
          <w:u w:val="single"/>
          <w:rtl/>
          <w:lang w:eastAsia="he-IL"/>
        </w:rPr>
        <w:t>טענות התובעת</w:t>
      </w:r>
    </w:p>
    <w:p w14:paraId="62D513C5" w14:textId="4EC0CFC5" w:rsidR="00E505C5" w:rsidRDefault="0013306E" w:rsidP="00FF4525">
      <w:pPr>
        <w:pStyle w:val="ListParagraph"/>
        <w:numPr>
          <w:ilvl w:val="0"/>
          <w:numId w:val="5"/>
        </w:numPr>
        <w:tabs>
          <w:tab w:val="left" w:pos="2409"/>
          <w:tab w:val="left" w:pos="2551"/>
        </w:tabs>
        <w:spacing w:before="120" w:after="360" w:line="240" w:lineRule="auto"/>
        <w:contextualSpacing w:val="0"/>
        <w:jc w:val="both"/>
        <w:rPr>
          <w:rFonts w:ascii="David" w:eastAsia="Times New Roman" w:hAnsi="David" w:cs="David"/>
          <w:noProof/>
          <w:sz w:val="20"/>
          <w:szCs w:val="24"/>
          <w:lang w:eastAsia="he-IL"/>
        </w:rPr>
      </w:pPr>
      <w:r w:rsidRPr="00DB7AA7">
        <w:rPr>
          <w:rFonts w:ascii="David" w:eastAsia="Times New Roman" w:hAnsi="David" w:cs="David"/>
          <w:noProof/>
          <w:sz w:val="20"/>
          <w:szCs w:val="24"/>
          <w:rtl/>
          <w:lang w:eastAsia="he-IL"/>
        </w:rPr>
        <w:t>התובעת תטען כי</w:t>
      </w:r>
      <w:r w:rsidR="00E505C5">
        <w:rPr>
          <w:rFonts w:ascii="David" w:eastAsia="Times New Roman" w:hAnsi="David" w:cs="David" w:hint="cs"/>
          <w:noProof/>
          <w:sz w:val="20"/>
          <w:szCs w:val="24"/>
          <w:rtl/>
          <w:lang w:eastAsia="he-IL"/>
        </w:rPr>
        <w:t xml:space="preserve"> בשל העובדה שהחייב היה בהליך פשיטת רגל היתה היא זו שצריכה לשאת בנטל גידול הילדים והחייב לא טרח לשלם לה את מלוא דמי המזונות שנקבעו על ידי בית המשפט לענייני משפחה אלא סך של </w:t>
      </w:r>
      <w:r w:rsidR="009F321D">
        <w:rPr>
          <w:rFonts w:ascii="David" w:eastAsia="Times New Roman" w:hAnsi="David" w:cs="David" w:hint="cs"/>
          <w:noProof/>
          <w:sz w:val="20"/>
          <w:szCs w:val="24"/>
          <w:rtl/>
          <w:lang w:eastAsia="he-IL"/>
        </w:rPr>
        <w:t>______________</w:t>
      </w:r>
      <w:r w:rsidR="00E505C5">
        <w:rPr>
          <w:rFonts w:ascii="David" w:eastAsia="Times New Roman" w:hAnsi="David" w:cs="David" w:hint="cs"/>
          <w:noProof/>
          <w:sz w:val="20"/>
          <w:szCs w:val="24"/>
          <w:rtl/>
          <w:lang w:eastAsia="he-IL"/>
        </w:rPr>
        <w:t xml:space="preserve"> ₪ בלבד.</w:t>
      </w:r>
    </w:p>
    <w:p w14:paraId="5F7EEB4F" w14:textId="39C9F50C" w:rsidR="001E0E2C" w:rsidRDefault="001E0E2C" w:rsidP="00FF4525">
      <w:pPr>
        <w:pStyle w:val="ListParagraph"/>
        <w:numPr>
          <w:ilvl w:val="0"/>
          <w:numId w:val="5"/>
        </w:numPr>
        <w:tabs>
          <w:tab w:val="left" w:pos="2409"/>
          <w:tab w:val="left" w:pos="2551"/>
        </w:tabs>
        <w:spacing w:before="120" w:after="360" w:line="240" w:lineRule="auto"/>
        <w:contextualSpacing w:val="0"/>
        <w:jc w:val="both"/>
        <w:rPr>
          <w:rFonts w:ascii="David" w:eastAsia="Times New Roman" w:hAnsi="David" w:cs="David"/>
          <w:noProof/>
          <w:sz w:val="20"/>
          <w:szCs w:val="24"/>
          <w:lang w:eastAsia="he-IL"/>
        </w:rPr>
      </w:pPr>
      <w:r>
        <w:rPr>
          <w:rFonts w:ascii="David" w:eastAsia="Times New Roman" w:hAnsi="David" w:cs="David" w:hint="cs"/>
          <w:noProof/>
          <w:sz w:val="20"/>
          <w:szCs w:val="24"/>
          <w:rtl/>
          <w:lang w:eastAsia="he-IL"/>
        </w:rPr>
        <w:t>כן תטען התובעת כי הנתבע לא באמת תכנן לשלם עבור דמי המזונות שכן פנה להליך פשיטת רגל ישר אחרי שחתם על ההסכם ולא פעל בתום לב, דחיית בקשת התובעת בעצם תתן לחוטא לצאת נשכר.</w:t>
      </w:r>
    </w:p>
    <w:p w14:paraId="20C53206" w14:textId="74477677" w:rsidR="00E505C5" w:rsidRPr="001E0E2C" w:rsidRDefault="00E505C5" w:rsidP="00FF4525">
      <w:pPr>
        <w:pStyle w:val="ListParagraph"/>
        <w:numPr>
          <w:ilvl w:val="0"/>
          <w:numId w:val="5"/>
        </w:numPr>
        <w:tabs>
          <w:tab w:val="left" w:pos="2409"/>
          <w:tab w:val="left" w:pos="2551"/>
        </w:tabs>
        <w:spacing w:before="120" w:after="360" w:line="240" w:lineRule="auto"/>
        <w:contextualSpacing w:val="0"/>
        <w:jc w:val="both"/>
        <w:rPr>
          <w:rFonts w:ascii="David" w:eastAsia="Times New Roman" w:hAnsi="David" w:cs="David"/>
          <w:noProof/>
          <w:sz w:val="20"/>
          <w:szCs w:val="24"/>
          <w:rtl/>
          <w:lang w:eastAsia="he-IL"/>
        </w:rPr>
      </w:pPr>
      <w:r w:rsidRPr="001E0E2C">
        <w:rPr>
          <w:rFonts w:ascii="David" w:hAnsi="David" w:cs="David" w:hint="cs"/>
          <w:sz w:val="24"/>
          <w:szCs w:val="24"/>
          <w:rtl/>
        </w:rPr>
        <w:t xml:space="preserve">הזוכה </w:t>
      </w:r>
      <w:r w:rsidR="0013306E" w:rsidRPr="001E0E2C">
        <w:rPr>
          <w:rFonts w:ascii="David" w:hAnsi="David" w:cs="David"/>
          <w:sz w:val="24"/>
          <w:szCs w:val="24"/>
          <w:rtl/>
        </w:rPr>
        <w:t>פעלה מוקדם יותר לשם גביית דמי המדור והגדלות קרן</w:t>
      </w:r>
      <w:r w:rsidR="001E0E2C">
        <w:rPr>
          <w:rFonts w:ascii="David" w:hAnsi="David" w:cs="David" w:hint="cs"/>
          <w:sz w:val="24"/>
          <w:szCs w:val="24"/>
          <w:rtl/>
        </w:rPr>
        <w:t>:</w:t>
      </w:r>
    </w:p>
    <w:p w14:paraId="1177174A" w14:textId="404D72C2" w:rsidR="00E505C5" w:rsidRDefault="00E505C5" w:rsidP="00FF4525">
      <w:pPr>
        <w:pStyle w:val="ListParagraph"/>
        <w:numPr>
          <w:ilvl w:val="0"/>
          <w:numId w:val="9"/>
        </w:numPr>
        <w:tabs>
          <w:tab w:val="left" w:pos="2409"/>
          <w:tab w:val="left" w:pos="2551"/>
        </w:tabs>
        <w:spacing w:before="120" w:after="360" w:line="240" w:lineRule="auto"/>
        <w:contextualSpacing w:val="0"/>
        <w:jc w:val="both"/>
        <w:rPr>
          <w:rFonts w:ascii="David" w:eastAsia="Times New Roman" w:hAnsi="David" w:cs="David"/>
          <w:noProof/>
          <w:sz w:val="20"/>
          <w:szCs w:val="24"/>
          <w:lang w:eastAsia="he-IL"/>
        </w:rPr>
      </w:pPr>
      <w:r>
        <w:rPr>
          <w:rFonts w:ascii="David" w:eastAsia="Times New Roman" w:hAnsi="David" w:cs="David" w:hint="cs"/>
          <w:noProof/>
          <w:sz w:val="20"/>
          <w:szCs w:val="24"/>
          <w:rtl/>
          <w:lang w:eastAsia="he-IL"/>
        </w:rPr>
        <w:t>הגישה בקשה לקציבת מזונות</w:t>
      </w:r>
      <w:r w:rsidR="001E0E2C">
        <w:rPr>
          <w:rFonts w:ascii="David" w:eastAsia="Times New Roman" w:hAnsi="David" w:cs="David" w:hint="cs"/>
          <w:noProof/>
          <w:sz w:val="20"/>
          <w:szCs w:val="24"/>
          <w:rtl/>
          <w:lang w:eastAsia="he-IL"/>
        </w:rPr>
        <w:t xml:space="preserve"> בהליך הפש"ר</w:t>
      </w:r>
      <w:r>
        <w:rPr>
          <w:rFonts w:ascii="David" w:eastAsia="Times New Roman" w:hAnsi="David" w:cs="David" w:hint="cs"/>
          <w:noProof/>
          <w:sz w:val="20"/>
          <w:szCs w:val="24"/>
          <w:rtl/>
          <w:lang w:eastAsia="he-IL"/>
        </w:rPr>
        <w:t>.</w:t>
      </w:r>
    </w:p>
    <w:p w14:paraId="7C9536EC" w14:textId="0F7E5BDD" w:rsidR="00E505C5" w:rsidRDefault="00E505C5" w:rsidP="00FF4525">
      <w:pPr>
        <w:pStyle w:val="ListParagraph"/>
        <w:numPr>
          <w:ilvl w:val="0"/>
          <w:numId w:val="9"/>
        </w:numPr>
        <w:tabs>
          <w:tab w:val="left" w:pos="2409"/>
          <w:tab w:val="left" w:pos="2551"/>
        </w:tabs>
        <w:spacing w:before="120" w:after="360" w:line="240" w:lineRule="auto"/>
        <w:contextualSpacing w:val="0"/>
        <w:jc w:val="both"/>
        <w:rPr>
          <w:rFonts w:ascii="David" w:eastAsia="Times New Roman" w:hAnsi="David" w:cs="David"/>
          <w:noProof/>
          <w:sz w:val="20"/>
          <w:szCs w:val="24"/>
          <w:lang w:eastAsia="he-IL"/>
        </w:rPr>
      </w:pPr>
      <w:r>
        <w:rPr>
          <w:rFonts w:ascii="David" w:eastAsia="Times New Roman" w:hAnsi="David" w:cs="David" w:hint="cs"/>
          <w:noProof/>
          <w:sz w:val="20"/>
          <w:szCs w:val="24"/>
          <w:rtl/>
          <w:lang w:eastAsia="he-IL"/>
        </w:rPr>
        <w:t>נאלצת לעבור עם הנתבע הליך יישוב סכסוך.</w:t>
      </w:r>
    </w:p>
    <w:p w14:paraId="63896656" w14:textId="14B0D9A9" w:rsidR="00E505C5" w:rsidRDefault="00E505C5" w:rsidP="00FF4525">
      <w:pPr>
        <w:pStyle w:val="ListParagraph"/>
        <w:numPr>
          <w:ilvl w:val="0"/>
          <w:numId w:val="9"/>
        </w:numPr>
        <w:tabs>
          <w:tab w:val="left" w:pos="2409"/>
          <w:tab w:val="left" w:pos="2551"/>
        </w:tabs>
        <w:spacing w:before="120" w:after="360" w:line="240" w:lineRule="auto"/>
        <w:contextualSpacing w:val="0"/>
        <w:jc w:val="both"/>
        <w:rPr>
          <w:rFonts w:ascii="David" w:eastAsia="Times New Roman" w:hAnsi="David" w:cs="David"/>
          <w:noProof/>
          <w:sz w:val="20"/>
          <w:szCs w:val="24"/>
          <w:lang w:eastAsia="he-IL"/>
        </w:rPr>
      </w:pPr>
      <w:r>
        <w:rPr>
          <w:rFonts w:ascii="David" w:eastAsia="Times New Roman" w:hAnsi="David" w:cs="David" w:hint="cs"/>
          <w:noProof/>
          <w:sz w:val="20"/>
          <w:szCs w:val="24"/>
          <w:rtl/>
          <w:lang w:eastAsia="he-IL"/>
        </w:rPr>
        <w:t>פנתה אליו במיישרין</w:t>
      </w:r>
      <w:r w:rsidR="001E0E2C">
        <w:rPr>
          <w:rFonts w:ascii="David" w:eastAsia="Times New Roman" w:hAnsi="David" w:cs="David" w:hint="cs"/>
          <w:noProof/>
          <w:sz w:val="20"/>
          <w:szCs w:val="24"/>
          <w:rtl/>
          <w:lang w:eastAsia="he-IL"/>
        </w:rPr>
        <w:t>.</w:t>
      </w:r>
    </w:p>
    <w:p w14:paraId="5F9ADE44" w14:textId="6A8B03D6" w:rsidR="00E2702E" w:rsidRDefault="00E2702E" w:rsidP="00FF4525">
      <w:pPr>
        <w:pStyle w:val="ListParagraph"/>
        <w:numPr>
          <w:ilvl w:val="0"/>
          <w:numId w:val="9"/>
        </w:numPr>
        <w:tabs>
          <w:tab w:val="left" w:pos="2409"/>
          <w:tab w:val="left" w:pos="2551"/>
        </w:tabs>
        <w:spacing w:before="120" w:after="360" w:line="240" w:lineRule="auto"/>
        <w:contextualSpacing w:val="0"/>
        <w:jc w:val="both"/>
        <w:rPr>
          <w:rFonts w:ascii="David" w:eastAsia="Times New Roman" w:hAnsi="David" w:cs="David"/>
          <w:noProof/>
          <w:sz w:val="20"/>
          <w:szCs w:val="24"/>
          <w:lang w:eastAsia="he-IL"/>
        </w:rPr>
      </w:pPr>
      <w:r>
        <w:rPr>
          <w:rFonts w:ascii="David" w:eastAsia="Times New Roman" w:hAnsi="David" w:cs="David" w:hint="cs"/>
          <w:noProof/>
          <w:sz w:val="20"/>
          <w:szCs w:val="24"/>
          <w:rtl/>
          <w:lang w:eastAsia="he-IL"/>
        </w:rPr>
        <w:t>הגישה תיק הוצל"פ.</w:t>
      </w:r>
    </w:p>
    <w:p w14:paraId="200F3BBD" w14:textId="34FBAE0E" w:rsidR="00644C59" w:rsidRPr="001E0E2C" w:rsidRDefault="001E0E2C" w:rsidP="00FF4525">
      <w:pPr>
        <w:pStyle w:val="ListParagraph"/>
        <w:numPr>
          <w:ilvl w:val="0"/>
          <w:numId w:val="5"/>
        </w:numPr>
        <w:tabs>
          <w:tab w:val="left" w:pos="2409"/>
          <w:tab w:val="left" w:pos="2551"/>
        </w:tabs>
        <w:spacing w:before="120" w:after="360" w:line="240" w:lineRule="auto"/>
        <w:contextualSpacing w:val="0"/>
        <w:jc w:val="both"/>
        <w:rPr>
          <w:rFonts w:ascii="David" w:eastAsia="Times New Roman" w:hAnsi="David" w:cs="David"/>
          <w:noProof/>
          <w:sz w:val="20"/>
          <w:szCs w:val="24"/>
          <w:lang w:eastAsia="he-IL"/>
        </w:rPr>
      </w:pPr>
      <w:r w:rsidRPr="001E0E2C">
        <w:rPr>
          <w:rFonts w:ascii="David" w:hAnsi="David" w:cs="David" w:hint="cs"/>
          <w:sz w:val="24"/>
          <w:szCs w:val="24"/>
          <w:rtl/>
        </w:rPr>
        <w:t>הזוכה הבינה כי בעת החייב בהליך זה אינה יכולה לגבות ממנו את הכסף ועל כן המתינה בסבלנות לסיום הליך זה, ולאחר שחשדה כי הוא סיים את ההליך לא השתהתה וישר פנתה למצוי זכויות ילדיה.</w:t>
      </w:r>
    </w:p>
    <w:p w14:paraId="03737703" w14:textId="77777777" w:rsidR="00644C59" w:rsidRPr="00DB7AA7" w:rsidRDefault="0013306E" w:rsidP="00FF4525">
      <w:pPr>
        <w:pStyle w:val="ListParagraph"/>
        <w:numPr>
          <w:ilvl w:val="0"/>
          <w:numId w:val="6"/>
        </w:numPr>
        <w:tabs>
          <w:tab w:val="left" w:pos="2409"/>
          <w:tab w:val="left" w:pos="2551"/>
        </w:tabs>
        <w:spacing w:before="120" w:after="360" w:line="240" w:lineRule="auto"/>
        <w:ind w:left="476" w:hanging="450"/>
        <w:contextualSpacing w:val="0"/>
        <w:jc w:val="both"/>
        <w:rPr>
          <w:rFonts w:ascii="David" w:eastAsia="Times New Roman" w:hAnsi="David" w:cs="David"/>
          <w:b/>
          <w:bCs/>
          <w:noProof/>
          <w:sz w:val="20"/>
          <w:szCs w:val="24"/>
          <w:u w:val="single"/>
          <w:lang w:eastAsia="he-IL"/>
        </w:rPr>
      </w:pPr>
      <w:r w:rsidRPr="00DB7AA7">
        <w:rPr>
          <w:rFonts w:ascii="David" w:eastAsia="Times New Roman" w:hAnsi="David" w:cs="David"/>
          <w:b/>
          <w:bCs/>
          <w:noProof/>
          <w:sz w:val="20"/>
          <w:szCs w:val="24"/>
          <w:u w:val="single"/>
          <w:rtl/>
          <w:lang w:eastAsia="he-IL"/>
        </w:rPr>
        <w:t>הביסוס המשפטי</w:t>
      </w:r>
    </w:p>
    <w:p w14:paraId="7FA96E26" w14:textId="77777777" w:rsidR="00644C59" w:rsidRPr="00DB7AA7" w:rsidRDefault="0013306E" w:rsidP="00FF4525">
      <w:pPr>
        <w:tabs>
          <w:tab w:val="left" w:pos="2409"/>
          <w:tab w:val="left" w:pos="2551"/>
        </w:tabs>
        <w:spacing w:before="120" w:after="360" w:line="240" w:lineRule="auto"/>
        <w:ind w:left="360"/>
        <w:jc w:val="both"/>
        <w:rPr>
          <w:rFonts w:ascii="David" w:eastAsia="Times New Roman" w:hAnsi="David" w:cs="David"/>
          <w:b/>
          <w:bCs/>
          <w:noProof/>
          <w:sz w:val="20"/>
          <w:szCs w:val="24"/>
          <w:u w:val="single"/>
          <w:lang w:eastAsia="he-IL"/>
        </w:rPr>
      </w:pPr>
      <w:r w:rsidRPr="00DB7AA7">
        <w:rPr>
          <w:rFonts w:ascii="David" w:eastAsia="Times New Roman" w:hAnsi="David" w:cs="David"/>
          <w:b/>
          <w:bCs/>
          <w:noProof/>
          <w:sz w:val="20"/>
          <w:szCs w:val="24"/>
          <w:u w:val="single"/>
          <w:rtl/>
          <w:lang w:eastAsia="he-IL"/>
        </w:rPr>
        <w:t>תחולת סעיף 11(ב) לחוק</w:t>
      </w:r>
      <w:r w:rsidRPr="00DB7AA7">
        <w:rPr>
          <w:rFonts w:ascii="David" w:hAnsi="David" w:cs="David"/>
          <w:b/>
          <w:bCs/>
          <w:sz w:val="24"/>
          <w:szCs w:val="24"/>
          <w:u w:val="single"/>
          <w:rtl/>
        </w:rPr>
        <w:t xml:space="preserve"> לתיקון דיני משפחה (מזונות) התשי"ט-</w:t>
      </w:r>
      <w:r w:rsidRPr="00DB7AA7">
        <w:rPr>
          <w:rFonts w:ascii="David" w:hAnsi="David" w:cs="David"/>
          <w:b/>
          <w:bCs/>
          <w:sz w:val="24"/>
          <w:szCs w:val="24"/>
          <w:u w:val="single"/>
        </w:rPr>
        <w:t xml:space="preserve"> 1959</w:t>
      </w:r>
    </w:p>
    <w:p w14:paraId="21F3B3A0" w14:textId="77777777" w:rsidR="00644C59" w:rsidRPr="00DB7AA7" w:rsidRDefault="0013306E" w:rsidP="00FF4525">
      <w:pPr>
        <w:pStyle w:val="ListParagraph"/>
        <w:numPr>
          <w:ilvl w:val="0"/>
          <w:numId w:val="5"/>
        </w:numPr>
        <w:tabs>
          <w:tab w:val="left" w:pos="2409"/>
          <w:tab w:val="left" w:pos="2551"/>
        </w:tabs>
        <w:spacing w:before="120" w:after="360" w:line="240" w:lineRule="auto"/>
        <w:contextualSpacing w:val="0"/>
        <w:jc w:val="both"/>
        <w:rPr>
          <w:rFonts w:ascii="David" w:eastAsia="Times New Roman" w:hAnsi="David" w:cs="David"/>
          <w:noProof/>
          <w:sz w:val="20"/>
          <w:szCs w:val="24"/>
          <w:lang w:eastAsia="he-IL"/>
        </w:rPr>
      </w:pPr>
      <w:r w:rsidRPr="00DB7AA7">
        <w:rPr>
          <w:rFonts w:ascii="David" w:eastAsia="Times New Roman" w:hAnsi="David" w:cs="David"/>
          <w:color w:val="383838"/>
          <w:sz w:val="24"/>
          <w:szCs w:val="24"/>
          <w:rtl/>
        </w:rPr>
        <w:t xml:space="preserve">היקפה של חובת תום-הלב, אינו מצטמצם, אך ורק, לשאלת נסיבות פתיחתו של הליך ההוצאה לפועל או לפרעונו של החוב. חובת תום-הלב, חולשת גם על אופן ניהולם של ההליכים בטרם ובפני רשם ההוצאה לפועל. </w:t>
      </w:r>
    </w:p>
    <w:p w14:paraId="1D3EB281" w14:textId="77777777" w:rsidR="00644C59" w:rsidRPr="00DB7AA7" w:rsidRDefault="0013306E" w:rsidP="00FF4525">
      <w:pPr>
        <w:pStyle w:val="ListParagraph"/>
        <w:tabs>
          <w:tab w:val="left" w:pos="2409"/>
          <w:tab w:val="left" w:pos="2551"/>
        </w:tabs>
        <w:spacing w:before="120" w:after="360" w:line="240" w:lineRule="auto"/>
        <w:contextualSpacing w:val="0"/>
        <w:jc w:val="both"/>
        <w:rPr>
          <w:rFonts w:ascii="David" w:eastAsia="Times New Roman" w:hAnsi="David" w:cs="David"/>
          <w:color w:val="383838"/>
          <w:sz w:val="24"/>
          <w:szCs w:val="24"/>
          <w:rtl/>
        </w:rPr>
      </w:pPr>
      <w:r w:rsidRPr="00DB7AA7">
        <w:rPr>
          <w:rFonts w:ascii="David" w:eastAsia="Times New Roman" w:hAnsi="David" w:cs="David"/>
          <w:color w:val="383838"/>
          <w:sz w:val="24"/>
          <w:szCs w:val="24"/>
          <w:rtl/>
        </w:rPr>
        <w:t>לעניין זה, עקרון תום-הלב בניהול הליכי הוצאה לפועל, מחייב את הזוכה בתיק ההוצאה לפועל, לפעול, באופן סביר, לקבלת סעד המימוש בהליכי ההוצאה לפועל, ואין הוא יכול "לישון על זכותו" זו, עד קץ כל הימים. וכן בהתאמה גם על החייב לפעול על פי אותו העיקרון.</w:t>
      </w:r>
    </w:p>
    <w:p w14:paraId="0952CD3E" w14:textId="77777777" w:rsidR="00644C59" w:rsidRPr="00DB7AA7" w:rsidRDefault="0013306E" w:rsidP="00FF4525">
      <w:pPr>
        <w:pStyle w:val="ListParagraph"/>
        <w:tabs>
          <w:tab w:val="left" w:pos="2409"/>
          <w:tab w:val="left" w:pos="2551"/>
        </w:tabs>
        <w:spacing w:before="120" w:after="360" w:line="240" w:lineRule="auto"/>
        <w:contextualSpacing w:val="0"/>
        <w:jc w:val="both"/>
        <w:rPr>
          <w:rFonts w:ascii="David" w:eastAsia="Times New Roman" w:hAnsi="David" w:cs="David"/>
          <w:color w:val="383838"/>
          <w:sz w:val="24"/>
          <w:szCs w:val="24"/>
          <w:rtl/>
        </w:rPr>
      </w:pPr>
      <w:r w:rsidRPr="00DB7AA7">
        <w:rPr>
          <w:rFonts w:ascii="David" w:eastAsia="Times New Roman" w:hAnsi="David" w:cs="David"/>
          <w:color w:val="383838"/>
          <w:sz w:val="24"/>
          <w:szCs w:val="24"/>
          <w:rtl/>
        </w:rPr>
        <w:t xml:space="preserve">כלל נקוט הוא, כי על הליכי הוצאה לפועל לא תחול התיישנות. ברם, אין בכך כדי לסתור את חובתם של הזוכה והחייב לחתור לסיומו של הסכסוך בין הצדדים. </w:t>
      </w:r>
    </w:p>
    <w:p w14:paraId="489876D9" w14:textId="77777777" w:rsidR="00644C59" w:rsidRPr="00DB7AA7" w:rsidRDefault="0013306E" w:rsidP="00FF4525">
      <w:pPr>
        <w:pStyle w:val="ListParagraph"/>
        <w:tabs>
          <w:tab w:val="left" w:pos="2409"/>
          <w:tab w:val="left" w:pos="2551"/>
        </w:tabs>
        <w:spacing w:before="120" w:after="360" w:line="240" w:lineRule="auto"/>
        <w:contextualSpacing w:val="0"/>
        <w:jc w:val="both"/>
        <w:rPr>
          <w:rFonts w:ascii="David" w:eastAsia="Times New Roman" w:hAnsi="David" w:cs="David"/>
          <w:color w:val="383838"/>
          <w:sz w:val="24"/>
          <w:szCs w:val="24"/>
          <w:rtl/>
        </w:rPr>
      </w:pPr>
      <w:r w:rsidRPr="00DB7AA7">
        <w:rPr>
          <w:rFonts w:ascii="David" w:eastAsia="Times New Roman" w:hAnsi="David" w:cs="David"/>
          <w:color w:val="383838"/>
          <w:sz w:val="24"/>
          <w:szCs w:val="24"/>
          <w:rtl/>
        </w:rPr>
        <w:lastRenderedPageBreak/>
        <w:t xml:space="preserve">תיק ההוצאה לפועל אינו יכול לשמש "תוכנית חסכון" לזוכה, אשר ממתינה עד אין קץ, ללא נקיטת הליכים, תוך צבירת הפרשי הצמדה וריבית.  אולם ברם, אין המדובר בהטלת חובה על הזוכה "לרדוף" אחר החייב לשם מימושו של פסק-הדין. ואם יתברר כי החייב התחמק מתשלום חובו במשך שנים, תוך החלפת כתובות מגורים, יציאה מן הארץ, או מטעם אחר, הרי שברור הוא, שאין זה מחובתו של הזוכה לנקוט בהליכים סבוכים, מיותרים ועתירי עלוּת, כדי לעלות על עקבותיו של החייב. </w:t>
      </w:r>
    </w:p>
    <w:p w14:paraId="1C144CEF" w14:textId="77777777" w:rsidR="00644C59" w:rsidRPr="00DB7AA7" w:rsidRDefault="0013306E" w:rsidP="00FF4525">
      <w:pPr>
        <w:pStyle w:val="ListParagraph"/>
        <w:tabs>
          <w:tab w:val="left" w:pos="2409"/>
          <w:tab w:val="left" w:pos="2551"/>
        </w:tabs>
        <w:spacing w:before="120" w:after="360" w:line="240" w:lineRule="auto"/>
        <w:contextualSpacing w:val="0"/>
        <w:jc w:val="both"/>
        <w:rPr>
          <w:rFonts w:ascii="David" w:eastAsia="Times New Roman" w:hAnsi="David" w:cs="David"/>
          <w:noProof/>
          <w:sz w:val="20"/>
          <w:szCs w:val="24"/>
          <w:rtl/>
          <w:lang w:eastAsia="he-IL"/>
        </w:rPr>
      </w:pPr>
      <w:r w:rsidRPr="00DB7AA7">
        <w:rPr>
          <w:rFonts w:ascii="David" w:eastAsia="Times New Roman" w:hAnsi="David" w:cs="David"/>
          <w:color w:val="383838"/>
          <w:sz w:val="24"/>
          <w:szCs w:val="24"/>
          <w:rtl/>
        </w:rPr>
        <w:t>מאידך, חלה חובה על הזוכה לנקוט בפעולות במסגרת תיק ההוצאה לפועל, לשם מימושו של פסק-הדין. כך, תוגשם תכליתו של עקרון תום-הלב בניהול הליכים משפטיים, בצורה המיטבית ביותר, תוך יעול הדיון ומניעת שימוש לרעה בו.</w:t>
      </w:r>
    </w:p>
    <w:p w14:paraId="0F6CC6F7" w14:textId="15CC4D61" w:rsidR="00644C59" w:rsidRPr="00FF4525" w:rsidRDefault="0013306E" w:rsidP="00FF4525">
      <w:pPr>
        <w:pStyle w:val="ListParagraph"/>
        <w:numPr>
          <w:ilvl w:val="0"/>
          <w:numId w:val="5"/>
        </w:numPr>
        <w:shd w:val="clear" w:color="auto" w:fill="FFFFFF"/>
        <w:spacing w:after="360" w:line="240" w:lineRule="auto"/>
        <w:jc w:val="both"/>
        <w:rPr>
          <w:rStyle w:val="apple-converted-space"/>
          <w:rFonts w:ascii="David" w:eastAsia="Times New Roman" w:hAnsi="David" w:cs="David"/>
          <w:noProof/>
          <w:sz w:val="20"/>
          <w:szCs w:val="24"/>
          <w:lang w:eastAsia="he-IL"/>
        </w:rPr>
      </w:pPr>
      <w:r w:rsidRPr="00FF4525">
        <w:rPr>
          <w:rFonts w:ascii="David" w:hAnsi="David" w:cs="David"/>
          <w:color w:val="1B1B1B"/>
          <w:sz w:val="24"/>
          <w:szCs w:val="24"/>
          <w:shd w:val="clear" w:color="auto" w:fill="FFFFFF"/>
          <w:rtl/>
        </w:rPr>
        <w:t xml:space="preserve">הוראת </w:t>
      </w:r>
      <w:r w:rsidRPr="00FF4525">
        <w:rPr>
          <w:rFonts w:ascii="David" w:eastAsia="Times New Roman" w:hAnsi="David" w:cs="David"/>
          <w:noProof/>
          <w:sz w:val="20"/>
          <w:szCs w:val="24"/>
          <w:rtl/>
          <w:lang w:eastAsia="he-IL"/>
        </w:rPr>
        <w:t>סעיף 3(א)</w:t>
      </w:r>
      <w:r w:rsidRPr="00FF4525">
        <w:rPr>
          <w:rFonts w:ascii="David" w:hAnsi="David" w:cs="David"/>
          <w:color w:val="1B1B1B"/>
          <w:sz w:val="24"/>
          <w:szCs w:val="24"/>
          <w:shd w:val="clear" w:color="auto" w:fill="FFFFFF"/>
          <w:rtl/>
        </w:rPr>
        <w:t xml:space="preserve"> </w:t>
      </w:r>
      <w:r w:rsidRPr="00FF4525">
        <w:rPr>
          <w:rFonts w:ascii="David" w:hAnsi="David" w:cs="David"/>
          <w:b/>
          <w:bCs/>
          <w:color w:val="1B1B1B"/>
          <w:sz w:val="24"/>
          <w:szCs w:val="24"/>
          <w:u w:val="single"/>
          <w:shd w:val="clear" w:color="auto" w:fill="FFFFFF"/>
          <w:rtl/>
        </w:rPr>
        <w:t>לחוק לתיקון דיני המשפחה (מזונות),</w:t>
      </w:r>
      <w:r w:rsidRPr="00FF4525">
        <w:rPr>
          <w:rFonts w:ascii="David" w:hAnsi="David" w:cs="David"/>
          <w:color w:val="1B1B1B"/>
          <w:sz w:val="24"/>
          <w:szCs w:val="24"/>
          <w:shd w:val="clear" w:color="auto" w:fill="FFFFFF"/>
          <w:rtl/>
        </w:rPr>
        <w:t xml:space="preserve"> תשי"ט-1959</w:t>
      </w:r>
      <w:r w:rsidRPr="00FF4525">
        <w:rPr>
          <w:rFonts w:ascii="David" w:eastAsia="Times New Roman" w:hAnsi="David" w:cs="David"/>
          <w:noProof/>
          <w:sz w:val="20"/>
          <w:szCs w:val="24"/>
          <w:rtl/>
          <w:lang w:eastAsia="he-IL"/>
        </w:rPr>
        <w:t xml:space="preserve"> (להלן: </w:t>
      </w:r>
      <w:r w:rsidRPr="00FF4525">
        <w:rPr>
          <w:rFonts w:ascii="David" w:eastAsia="Times New Roman" w:hAnsi="David" w:cs="David"/>
          <w:b/>
          <w:bCs/>
          <w:noProof/>
          <w:sz w:val="20"/>
          <w:szCs w:val="24"/>
          <w:rtl/>
          <w:lang w:eastAsia="he-IL"/>
        </w:rPr>
        <w:t>"החוק"</w:t>
      </w:r>
      <w:r w:rsidRPr="00FF4525">
        <w:rPr>
          <w:rFonts w:ascii="David" w:eastAsia="Times New Roman" w:hAnsi="David" w:cs="David"/>
          <w:noProof/>
          <w:sz w:val="20"/>
          <w:szCs w:val="24"/>
          <w:rtl/>
          <w:lang w:eastAsia="he-IL"/>
        </w:rPr>
        <w:t>) קובעת כי</w:t>
      </w:r>
      <w:r w:rsidRPr="00FF4525">
        <w:rPr>
          <w:rFonts w:ascii="David" w:eastAsia="Times New Roman" w:hAnsi="David" w:cs="David"/>
          <w:noProof/>
          <w:sz w:val="24"/>
          <w:szCs w:val="24"/>
          <w:rtl/>
          <w:lang w:eastAsia="he-IL"/>
        </w:rPr>
        <w:t xml:space="preserve">: </w:t>
      </w:r>
      <w:r w:rsidRPr="00FF4525">
        <w:rPr>
          <w:rFonts w:ascii="David" w:eastAsia="Times New Roman" w:hAnsi="David" w:cs="David"/>
          <w:b/>
          <w:bCs/>
          <w:noProof/>
          <w:sz w:val="24"/>
          <w:szCs w:val="24"/>
          <w:rtl/>
          <w:lang w:eastAsia="he-IL"/>
        </w:rPr>
        <w:t xml:space="preserve">"אדם </w:t>
      </w:r>
      <w:r w:rsidRPr="00FF4525">
        <w:rPr>
          <w:rFonts w:ascii="David" w:hAnsi="David" w:cs="David"/>
          <w:b/>
          <w:bCs/>
          <w:color w:val="000000"/>
          <w:sz w:val="24"/>
          <w:szCs w:val="24"/>
          <w:rtl/>
        </w:rPr>
        <w:t>חייב במזונות הילדים הקטינים שלו והילדים הקטינים של בן-זוגו לפי הוראות הדין האישי החל עליו, והוראות חוק זה לא יחולו על מזונות אלה</w:t>
      </w:r>
      <w:r w:rsidRPr="00FF4525">
        <w:rPr>
          <w:rFonts w:ascii="David" w:hAnsi="David" w:cs="David"/>
          <w:b/>
          <w:bCs/>
          <w:color w:val="000000"/>
          <w:sz w:val="24"/>
          <w:szCs w:val="24"/>
        </w:rPr>
        <w:t>.</w:t>
      </w:r>
      <w:r w:rsidRPr="00FF4525">
        <w:rPr>
          <w:rStyle w:val="apple-converted-space"/>
          <w:rFonts w:ascii="David" w:eastAsia="Times New Roman" w:hAnsi="David" w:cs="David"/>
          <w:b/>
          <w:bCs/>
          <w:noProof/>
          <w:sz w:val="20"/>
          <w:szCs w:val="24"/>
          <w:rtl/>
          <w:lang w:eastAsia="he-IL"/>
        </w:rPr>
        <w:t>"</w:t>
      </w:r>
    </w:p>
    <w:p w14:paraId="004006D0" w14:textId="77777777" w:rsidR="00644C59" w:rsidRPr="00DB7AA7" w:rsidRDefault="0013306E" w:rsidP="00FF4525">
      <w:pPr>
        <w:pStyle w:val="ListParagraph"/>
        <w:numPr>
          <w:ilvl w:val="0"/>
          <w:numId w:val="5"/>
        </w:numPr>
        <w:tabs>
          <w:tab w:val="left" w:pos="2409"/>
          <w:tab w:val="left" w:pos="2551"/>
        </w:tabs>
        <w:spacing w:before="120" w:after="360" w:line="240" w:lineRule="auto"/>
        <w:contextualSpacing w:val="0"/>
        <w:jc w:val="both"/>
        <w:rPr>
          <w:rFonts w:ascii="David" w:eastAsia="Times New Roman" w:hAnsi="David" w:cs="David"/>
          <w:noProof/>
          <w:sz w:val="20"/>
          <w:szCs w:val="24"/>
          <w:lang w:eastAsia="he-IL"/>
        </w:rPr>
      </w:pPr>
      <w:r w:rsidRPr="00DB7AA7">
        <w:rPr>
          <w:rFonts w:ascii="David" w:hAnsi="David" w:cs="David"/>
          <w:color w:val="1B1B1B"/>
          <w:sz w:val="24"/>
          <w:szCs w:val="24"/>
          <w:shd w:val="clear" w:color="auto" w:fill="FFFFFF"/>
          <w:rtl/>
        </w:rPr>
        <w:t>משמע, סעיף 11(ב) לחוק המונע את האפשרות לנקוט בהליכי הוצאה לפועל לגביית מזונות בחלוף שנתיים ממועד החיוב, זולת בהיתר מפורש ומקדים שניתן על ידי בית המשפט, חל על חסרי דין אישי בלבד</w:t>
      </w:r>
      <w:r w:rsidRPr="00DB7AA7">
        <w:rPr>
          <w:rFonts w:ascii="David" w:eastAsia="Times New Roman" w:hAnsi="David" w:cs="David"/>
          <w:noProof/>
          <w:sz w:val="20"/>
          <w:szCs w:val="24"/>
          <w:rtl/>
          <w:lang w:eastAsia="he-IL"/>
        </w:rPr>
        <w:t>.</w:t>
      </w:r>
    </w:p>
    <w:p w14:paraId="6BE82008" w14:textId="77777777" w:rsidR="00644C59" w:rsidRPr="00DB7AA7" w:rsidRDefault="0013306E" w:rsidP="00FF4525">
      <w:pPr>
        <w:pStyle w:val="ListParagraph"/>
        <w:numPr>
          <w:ilvl w:val="0"/>
          <w:numId w:val="5"/>
        </w:numPr>
        <w:tabs>
          <w:tab w:val="left" w:pos="2409"/>
          <w:tab w:val="left" w:pos="2551"/>
        </w:tabs>
        <w:spacing w:before="120" w:after="360" w:line="240" w:lineRule="auto"/>
        <w:contextualSpacing w:val="0"/>
        <w:jc w:val="both"/>
        <w:rPr>
          <w:rFonts w:ascii="David" w:eastAsia="Times New Roman" w:hAnsi="David" w:cs="David"/>
          <w:noProof/>
          <w:sz w:val="24"/>
          <w:szCs w:val="24"/>
          <w:lang w:eastAsia="he-IL"/>
        </w:rPr>
      </w:pPr>
      <w:r w:rsidRPr="00DB7AA7">
        <w:rPr>
          <w:rFonts w:ascii="David" w:hAnsi="David" w:cs="David"/>
          <w:sz w:val="24"/>
          <w:szCs w:val="24"/>
          <w:shd w:val="clear" w:color="auto" w:fill="FFFFFF"/>
          <w:rtl/>
        </w:rPr>
        <w:t>קיימות פסיקות ששללו תחולת סעיף 11(ב) לחוק המזונות מכוח פרשנות של הוראות החוק והתפיסה שמדובר בעניין שרק המחוקק או בית המשפט העליון אמורים ליתן בו דעתם.</w:t>
      </w:r>
    </w:p>
    <w:p w14:paraId="004891FB" w14:textId="77777777" w:rsidR="00644C59" w:rsidRPr="00DB7AA7" w:rsidRDefault="0013306E" w:rsidP="00FF4525">
      <w:pPr>
        <w:pStyle w:val="ListParagraph"/>
        <w:numPr>
          <w:ilvl w:val="0"/>
          <w:numId w:val="5"/>
        </w:numPr>
        <w:tabs>
          <w:tab w:val="left" w:pos="2409"/>
          <w:tab w:val="left" w:pos="2551"/>
        </w:tabs>
        <w:spacing w:before="120" w:after="360" w:line="240" w:lineRule="auto"/>
        <w:contextualSpacing w:val="0"/>
        <w:jc w:val="both"/>
        <w:rPr>
          <w:rFonts w:ascii="David" w:eastAsia="Times New Roman" w:hAnsi="David" w:cs="David"/>
          <w:noProof/>
          <w:sz w:val="24"/>
          <w:szCs w:val="24"/>
          <w:lang w:eastAsia="he-IL"/>
        </w:rPr>
      </w:pPr>
      <w:r w:rsidRPr="00DB7AA7">
        <w:rPr>
          <w:rFonts w:ascii="David" w:hAnsi="David" w:cs="David"/>
          <w:sz w:val="24"/>
          <w:szCs w:val="24"/>
          <w:shd w:val="clear" w:color="auto" w:fill="FFFFFF"/>
          <w:rtl/>
        </w:rPr>
        <w:t xml:space="preserve">בתמ"ש   (י-ם) 20080/97 </w:t>
      </w:r>
      <w:r w:rsidRPr="00DB7AA7">
        <w:rPr>
          <w:rFonts w:ascii="David" w:hAnsi="David" w:cs="David"/>
          <w:b/>
          <w:bCs/>
          <w:sz w:val="24"/>
          <w:szCs w:val="24"/>
          <w:u w:val="single"/>
          <w:shd w:val="clear" w:color="auto" w:fill="FFFFFF"/>
          <w:rtl/>
        </w:rPr>
        <w:t>פ</w:t>
      </w:r>
      <w:r w:rsidRPr="00DB7AA7">
        <w:rPr>
          <w:rStyle w:val="Strong"/>
          <w:rFonts w:ascii="David" w:hAnsi="David" w:cs="David"/>
          <w:sz w:val="24"/>
          <w:szCs w:val="24"/>
          <w:u w:val="single"/>
          <w:bdr w:val="none" w:sz="0" w:space="0" w:color="auto" w:frame="1"/>
          <w:shd w:val="clear" w:color="auto" w:fill="FFFFFF"/>
          <w:rtl/>
        </w:rPr>
        <w:t>לוני נ' אלמוני</w:t>
      </w:r>
      <w:r w:rsidRPr="00DB7AA7">
        <w:rPr>
          <w:rStyle w:val="Strong"/>
          <w:rFonts w:ascii="David" w:hAnsi="David" w:cs="David"/>
          <w:sz w:val="24"/>
          <w:szCs w:val="24"/>
          <w:bdr w:val="none" w:sz="0" w:space="0" w:color="auto" w:frame="1"/>
          <w:shd w:val="clear" w:color="auto" w:fill="FFFFFF"/>
          <w:rtl/>
        </w:rPr>
        <w:t>, 15.03.1998</w:t>
      </w:r>
      <w:r w:rsidRPr="00DB7AA7">
        <w:rPr>
          <w:rStyle w:val="apple-converted-space"/>
          <w:rFonts w:ascii="David" w:hAnsi="David" w:cs="David"/>
          <w:sz w:val="24"/>
          <w:szCs w:val="24"/>
          <w:shd w:val="clear" w:color="auto" w:fill="FFFFFF"/>
          <w:rtl/>
        </w:rPr>
        <w:t> </w:t>
      </w:r>
      <w:r w:rsidRPr="00DB7AA7">
        <w:rPr>
          <w:rFonts w:ascii="David" w:hAnsi="David" w:cs="David"/>
          <w:sz w:val="24"/>
          <w:szCs w:val="24"/>
          <w:shd w:val="clear" w:color="auto" w:fill="FFFFFF"/>
          <w:rtl/>
        </w:rPr>
        <w:t xml:space="preserve">כב' השופטת נילי מיימון (פורסם במאגרים) </w:t>
      </w:r>
      <w:r w:rsidRPr="00DB7AA7">
        <w:rPr>
          <w:rFonts w:ascii="David" w:eastAsia="Times New Roman" w:hAnsi="David" w:cs="David"/>
          <w:noProof/>
          <w:sz w:val="24"/>
          <w:szCs w:val="24"/>
          <w:rtl/>
          <w:lang w:eastAsia="he-IL"/>
        </w:rPr>
        <w:t xml:space="preserve">נקבע: </w:t>
      </w:r>
    </w:p>
    <w:p w14:paraId="6D1807CD" w14:textId="77777777" w:rsidR="00644C59" w:rsidRPr="00DB7AA7" w:rsidRDefault="0013306E" w:rsidP="00FF4525">
      <w:pPr>
        <w:pStyle w:val="ListParagraph"/>
        <w:tabs>
          <w:tab w:val="left" w:pos="2409"/>
          <w:tab w:val="left" w:pos="2551"/>
        </w:tabs>
        <w:spacing w:before="120" w:after="360" w:line="240" w:lineRule="auto"/>
        <w:contextualSpacing w:val="0"/>
        <w:jc w:val="both"/>
        <w:rPr>
          <w:rFonts w:ascii="David" w:eastAsia="Times New Roman" w:hAnsi="David" w:cs="David"/>
          <w:b/>
          <w:bCs/>
          <w:noProof/>
          <w:sz w:val="24"/>
          <w:szCs w:val="24"/>
          <w:lang w:eastAsia="he-IL"/>
        </w:rPr>
      </w:pPr>
      <w:r w:rsidRPr="00DB7AA7">
        <w:rPr>
          <w:rFonts w:ascii="David" w:hAnsi="David" w:cs="David"/>
          <w:b/>
          <w:bCs/>
          <w:sz w:val="24"/>
          <w:szCs w:val="24"/>
          <w:rtl/>
        </w:rPr>
        <w:t xml:space="preserve">"אין להחיל על הצדדים דנן את האמור בסעיף </w:t>
      </w:r>
      <w:r w:rsidRPr="00DB7AA7">
        <w:rPr>
          <w:rFonts w:ascii="David" w:hAnsi="David" w:cs="David"/>
          <w:b/>
          <w:bCs/>
          <w:sz w:val="24"/>
          <w:szCs w:val="24"/>
        </w:rPr>
        <w:t>11</w:t>
      </w:r>
      <w:r w:rsidRPr="00DB7AA7">
        <w:rPr>
          <w:rFonts w:ascii="David" w:hAnsi="David" w:cs="David"/>
          <w:b/>
          <w:bCs/>
          <w:sz w:val="24"/>
          <w:szCs w:val="24"/>
          <w:rtl/>
        </w:rPr>
        <w:t>(ב) לחוק לתיקון דיני משפחה (מזונות) התשי"ט-</w:t>
      </w:r>
      <w:r w:rsidRPr="00DB7AA7">
        <w:rPr>
          <w:rFonts w:ascii="David" w:hAnsi="David" w:cs="David"/>
          <w:b/>
          <w:bCs/>
          <w:sz w:val="24"/>
          <w:szCs w:val="24"/>
        </w:rPr>
        <w:t xml:space="preserve"> 1959</w:t>
      </w:r>
      <w:r w:rsidRPr="00DB7AA7">
        <w:rPr>
          <w:rFonts w:ascii="David" w:hAnsi="David" w:cs="David"/>
          <w:b/>
          <w:bCs/>
          <w:sz w:val="24"/>
          <w:szCs w:val="24"/>
          <w:rtl/>
        </w:rPr>
        <w:t>(להלן - חוק המזונות) אשר לפיו הליכי גבייה לתקופה של שנתיים רטרואקטיבית של פסק דין למזונות</w:t>
      </w:r>
      <w:r w:rsidRPr="00DB7AA7">
        <w:rPr>
          <w:rFonts w:ascii="David" w:hAnsi="David" w:cs="David"/>
          <w:b/>
          <w:bCs/>
          <w:sz w:val="24"/>
          <w:szCs w:val="24"/>
        </w:rPr>
        <w:t xml:space="preserve"> </w:t>
      </w:r>
      <w:r w:rsidRPr="00DB7AA7">
        <w:rPr>
          <w:rFonts w:ascii="David" w:hAnsi="David" w:cs="David"/>
          <w:b/>
          <w:bCs/>
          <w:sz w:val="24"/>
          <w:szCs w:val="24"/>
          <w:rtl/>
        </w:rPr>
        <w:t>לא יאושרו אלא ברשות בית המשפט</w:t>
      </w:r>
      <w:r w:rsidRPr="00DB7AA7">
        <w:rPr>
          <w:rFonts w:ascii="David" w:hAnsi="David" w:cs="David"/>
          <w:b/>
          <w:bCs/>
          <w:sz w:val="24"/>
          <w:szCs w:val="24"/>
        </w:rPr>
        <w:t>.</w:t>
      </w:r>
    </w:p>
    <w:p w14:paraId="4DF039C9" w14:textId="77777777" w:rsidR="00644C59" w:rsidRPr="00DB7AA7" w:rsidRDefault="0013306E" w:rsidP="00FF4525">
      <w:pPr>
        <w:pStyle w:val="ListParagraph"/>
        <w:tabs>
          <w:tab w:val="left" w:pos="2409"/>
          <w:tab w:val="left" w:pos="2551"/>
        </w:tabs>
        <w:spacing w:before="120" w:after="360" w:line="240" w:lineRule="auto"/>
        <w:contextualSpacing w:val="0"/>
        <w:jc w:val="both"/>
        <w:rPr>
          <w:rFonts w:ascii="David" w:hAnsi="David" w:cs="David"/>
          <w:b/>
          <w:bCs/>
          <w:sz w:val="24"/>
          <w:szCs w:val="24"/>
          <w:rtl/>
        </w:rPr>
      </w:pPr>
      <w:r w:rsidRPr="00DB7AA7">
        <w:rPr>
          <w:rFonts w:ascii="David" w:hAnsi="David" w:cs="David"/>
          <w:b/>
          <w:bCs/>
          <w:sz w:val="24"/>
          <w:szCs w:val="24"/>
          <w:rtl/>
        </w:rPr>
        <w:t>סעיף זה לא יחול, שכן הוראות סעיף זה כפופות להוראות סעיף 3(א) לחוק המזונות הקובע כי הוראות חוק זה לא יחולו על מזונות קטין, הדין שיחול הוא הדין האישי החל על האב החייב במזונות והוא בענין דנן הדין העברי."</w:t>
      </w:r>
    </w:p>
    <w:p w14:paraId="6C37AF02" w14:textId="77777777" w:rsidR="00644C59" w:rsidRPr="00DB7AA7" w:rsidRDefault="0013306E" w:rsidP="00FF4525">
      <w:pPr>
        <w:pStyle w:val="ListParagraph"/>
        <w:tabs>
          <w:tab w:val="left" w:pos="2409"/>
          <w:tab w:val="left" w:pos="2551"/>
        </w:tabs>
        <w:spacing w:before="120" w:after="360" w:line="240" w:lineRule="auto"/>
        <w:contextualSpacing w:val="0"/>
        <w:jc w:val="both"/>
        <w:rPr>
          <w:rFonts w:ascii="David" w:hAnsi="David" w:cs="David"/>
          <w:sz w:val="24"/>
          <w:szCs w:val="24"/>
          <w:rtl/>
        </w:rPr>
      </w:pPr>
      <w:r w:rsidRPr="00DB7AA7">
        <w:rPr>
          <w:rFonts w:ascii="David" w:hAnsi="David" w:cs="David"/>
          <w:sz w:val="24"/>
          <w:szCs w:val="24"/>
          <w:rtl/>
        </w:rPr>
        <w:t>וכמו כן:</w:t>
      </w:r>
    </w:p>
    <w:p w14:paraId="09336D83" w14:textId="77777777" w:rsidR="00644C59" w:rsidRPr="00DB7AA7" w:rsidRDefault="0013306E" w:rsidP="00FF4525">
      <w:pPr>
        <w:pStyle w:val="ListParagraph"/>
        <w:tabs>
          <w:tab w:val="left" w:pos="2409"/>
          <w:tab w:val="left" w:pos="2551"/>
        </w:tabs>
        <w:spacing w:before="120" w:after="360" w:line="240" w:lineRule="auto"/>
        <w:contextualSpacing w:val="0"/>
        <w:jc w:val="both"/>
        <w:rPr>
          <w:rFonts w:ascii="David" w:hAnsi="David" w:cs="David"/>
          <w:b/>
          <w:bCs/>
          <w:sz w:val="24"/>
          <w:szCs w:val="24"/>
        </w:rPr>
      </w:pPr>
      <w:r w:rsidRPr="00DB7AA7">
        <w:rPr>
          <w:rFonts w:ascii="David" w:hAnsi="David" w:cs="David"/>
          <w:b/>
          <w:bCs/>
          <w:sz w:val="24"/>
          <w:szCs w:val="24"/>
          <w:rtl/>
        </w:rPr>
        <w:t>"על פי הדין העברי בהקשר של חבות רטרואקטיבית למזונות לתקופה שלפני הגשת תביעת מזונות יש הנחה שהאשה הן למזונותיה והן עבור הוצאותיה למזונות ילדיה מחלה שכן "דרך נשים לגלגל על בעליהן" (ב"ש שו"ע, אה"ע, ע ס"ק כט (ב)), כלומר:</w:t>
      </w:r>
      <w:r w:rsidRPr="00DB7AA7">
        <w:rPr>
          <w:rFonts w:ascii="David" w:hAnsi="David" w:cs="David"/>
          <w:b/>
          <w:bCs/>
          <w:color w:val="FFFFFF"/>
          <w:sz w:val="24"/>
          <w:szCs w:val="24"/>
          <w:rtl/>
        </w:rPr>
        <w:t>ו</w:t>
      </w:r>
      <w:r w:rsidRPr="00DB7AA7">
        <w:rPr>
          <w:rFonts w:ascii="David" w:hAnsi="David" w:cs="David"/>
          <w:b/>
          <w:bCs/>
          <w:sz w:val="24"/>
          <w:szCs w:val="24"/>
          <w:rtl/>
        </w:rPr>
        <w:t xml:space="preserve"> מתוך ציפיה לשלום בית אין האשה עומדת על מלוא זכויותיה לשעבר ואם לא "מסרה מודעה" בפני עדים שאינה מוחלת, היא מוחזקת כמוחלת, עד שתתבע. דין זה הנוגע למזונות האשה עצמה, הורחב על ידי המהרשד"ם (רבי שלום מרדכי הכהן שבדרון, מגדולי חכמי גליציה במאה שעברה) גם על הוצאות שהוציאה האשה למזונות הילדים (תשובות מהרש"ם, ח"ב רל"ו (ג)).</w:t>
      </w:r>
      <w:r w:rsidRPr="00DB7AA7">
        <w:rPr>
          <w:rFonts w:ascii="David" w:hAnsi="David" w:cs="David"/>
          <w:b/>
          <w:bCs/>
          <w:sz w:val="24"/>
          <w:szCs w:val="24"/>
        </w:rPr>
        <w:tab/>
      </w:r>
    </w:p>
    <w:p w14:paraId="14FCDFC2" w14:textId="77777777" w:rsidR="00644C59" w:rsidRPr="00DB7AA7" w:rsidRDefault="0013306E" w:rsidP="00FF4525">
      <w:pPr>
        <w:pStyle w:val="ListParagraph"/>
        <w:tabs>
          <w:tab w:val="left" w:pos="2409"/>
          <w:tab w:val="left" w:pos="2551"/>
        </w:tabs>
        <w:spacing w:before="120" w:after="360" w:line="240" w:lineRule="auto"/>
        <w:contextualSpacing w:val="0"/>
        <w:jc w:val="both"/>
        <w:rPr>
          <w:rFonts w:ascii="David" w:hAnsi="David" w:cs="David"/>
          <w:b/>
          <w:bCs/>
          <w:sz w:val="24"/>
          <w:szCs w:val="24"/>
          <w:rtl/>
        </w:rPr>
      </w:pPr>
      <w:r w:rsidRPr="00DB7AA7">
        <w:rPr>
          <w:rFonts w:ascii="David" w:hAnsi="David" w:cs="David"/>
          <w:b/>
          <w:bCs/>
          <w:sz w:val="24"/>
          <w:szCs w:val="24"/>
          <w:rtl/>
        </w:rPr>
        <w:t>ואולם הנחה זו שדרך אשה לגלגל עם בעלה ניתנת לסתירה, לפי נסיבות כל עניין ועניין. כך, למשל, נפסק לאשה החזר הוצאותיה על מזונות ילד למפרע</w:t>
      </w:r>
      <w:r w:rsidRPr="00DB7AA7">
        <w:rPr>
          <w:rFonts w:ascii="David" w:hAnsi="David" w:cs="David"/>
          <w:b/>
          <w:bCs/>
          <w:sz w:val="24"/>
          <w:szCs w:val="24"/>
        </w:rPr>
        <w:t xml:space="preserve">, </w:t>
      </w:r>
      <w:r w:rsidRPr="00DB7AA7">
        <w:rPr>
          <w:rFonts w:ascii="David" w:hAnsi="David" w:cs="David"/>
          <w:b/>
          <w:bCs/>
          <w:sz w:val="24"/>
          <w:szCs w:val="24"/>
          <w:rtl/>
        </w:rPr>
        <w:t xml:space="preserve"> מפני "שבנידון שלנו... ניכר הדבר שלא מחלה כלל ולכן הוחלט לחייבו במזונות הילד החל מיום לידתו" [תיק תשי"ד-</w:t>
      </w:r>
      <w:r w:rsidRPr="00DB7AA7">
        <w:rPr>
          <w:rFonts w:ascii="David" w:hAnsi="David" w:cs="David"/>
          <w:b/>
          <w:bCs/>
          <w:sz w:val="24"/>
          <w:szCs w:val="24"/>
        </w:rPr>
        <w:t xml:space="preserve"> 1529</w:t>
      </w:r>
      <w:r w:rsidRPr="00DB7AA7">
        <w:rPr>
          <w:rFonts w:ascii="David" w:hAnsi="David" w:cs="David"/>
          <w:b/>
          <w:bCs/>
          <w:sz w:val="24"/>
          <w:szCs w:val="24"/>
          <w:rtl/>
        </w:rPr>
        <w:t xml:space="preserve">א' נ. ב' (4), בעמ' </w:t>
      </w:r>
      <w:r w:rsidRPr="00DB7AA7">
        <w:rPr>
          <w:rFonts w:ascii="David" w:hAnsi="David" w:cs="David"/>
          <w:b/>
          <w:bCs/>
          <w:sz w:val="24"/>
          <w:szCs w:val="24"/>
        </w:rPr>
        <w:t>234</w:t>
      </w:r>
      <w:r w:rsidRPr="00DB7AA7">
        <w:rPr>
          <w:rFonts w:ascii="David" w:hAnsi="David" w:cs="David"/>
          <w:b/>
          <w:bCs/>
          <w:sz w:val="24"/>
          <w:szCs w:val="24"/>
          <w:rtl/>
        </w:rPr>
        <w:t>]</w:t>
      </w:r>
      <w:r w:rsidRPr="00DB7AA7">
        <w:rPr>
          <w:rFonts w:ascii="David" w:hAnsi="David" w:cs="David"/>
          <w:b/>
          <w:bCs/>
          <w:sz w:val="24"/>
          <w:szCs w:val="24"/>
        </w:rPr>
        <w:t xml:space="preserve">. </w:t>
      </w:r>
      <w:r w:rsidRPr="00DB7AA7">
        <w:rPr>
          <w:rFonts w:ascii="David" w:hAnsi="David" w:cs="David"/>
          <w:b/>
          <w:bCs/>
          <w:sz w:val="24"/>
          <w:szCs w:val="24"/>
          <w:rtl/>
        </w:rPr>
        <w:t xml:space="preserve">ע"א </w:t>
      </w:r>
      <w:r w:rsidRPr="00DB7AA7">
        <w:rPr>
          <w:rFonts w:ascii="David" w:hAnsi="David" w:cs="David"/>
          <w:b/>
          <w:bCs/>
          <w:sz w:val="24"/>
          <w:szCs w:val="24"/>
        </w:rPr>
        <w:t>1275/93</w:t>
      </w:r>
      <w:r w:rsidRPr="00DB7AA7">
        <w:rPr>
          <w:rFonts w:ascii="David" w:hAnsi="David" w:cs="David"/>
          <w:b/>
          <w:bCs/>
          <w:sz w:val="24"/>
          <w:szCs w:val="24"/>
          <w:rtl/>
        </w:rPr>
        <w:t xml:space="preserve">אביטבול נ. אביטבול פ"ד נ(1) ע' </w:t>
      </w:r>
      <w:r w:rsidRPr="00DB7AA7">
        <w:rPr>
          <w:rFonts w:ascii="David" w:hAnsi="David" w:cs="David"/>
          <w:b/>
          <w:bCs/>
          <w:sz w:val="24"/>
          <w:szCs w:val="24"/>
        </w:rPr>
        <w:t>.215</w:t>
      </w:r>
      <w:r w:rsidRPr="00DB7AA7">
        <w:rPr>
          <w:rFonts w:ascii="David" w:hAnsi="David" w:cs="David"/>
          <w:b/>
          <w:bCs/>
          <w:sz w:val="24"/>
          <w:szCs w:val="24"/>
          <w:rtl/>
        </w:rPr>
        <w:t xml:space="preserve"> </w:t>
      </w:r>
    </w:p>
    <w:p w14:paraId="4420CC8D" w14:textId="77777777" w:rsidR="00644C59" w:rsidRPr="00DB7AA7" w:rsidRDefault="0013306E" w:rsidP="00FF4525">
      <w:pPr>
        <w:pStyle w:val="ListParagraph"/>
        <w:tabs>
          <w:tab w:val="left" w:pos="2409"/>
          <w:tab w:val="left" w:pos="2551"/>
        </w:tabs>
        <w:spacing w:before="120" w:after="360" w:line="240" w:lineRule="auto"/>
        <w:contextualSpacing w:val="0"/>
        <w:jc w:val="both"/>
        <w:rPr>
          <w:rFonts w:ascii="David" w:eastAsia="Times New Roman" w:hAnsi="David" w:cs="David"/>
          <w:b/>
          <w:bCs/>
          <w:noProof/>
          <w:sz w:val="24"/>
          <w:szCs w:val="24"/>
          <w:rtl/>
          <w:lang w:eastAsia="he-IL"/>
        </w:rPr>
      </w:pPr>
      <w:r w:rsidRPr="00DB7AA7">
        <w:rPr>
          <w:rFonts w:ascii="David" w:hAnsi="David" w:cs="David"/>
          <w:b/>
          <w:bCs/>
          <w:sz w:val="24"/>
          <w:szCs w:val="24"/>
          <w:rtl/>
        </w:rPr>
        <w:t>בנסיבות החבות למזונות בה עסקינן אין תחולה לשאלת המחילה ממספר טעמים</w:t>
      </w:r>
      <w:r w:rsidRPr="00DB7AA7">
        <w:rPr>
          <w:rFonts w:ascii="David" w:hAnsi="David" w:cs="David"/>
          <w:b/>
          <w:bCs/>
          <w:sz w:val="24"/>
          <w:szCs w:val="24"/>
        </w:rPr>
        <w:t>:</w:t>
      </w:r>
      <w:r w:rsidRPr="00DB7AA7">
        <w:rPr>
          <w:rFonts w:ascii="David" w:hAnsi="David" w:cs="David"/>
          <w:b/>
          <w:bCs/>
          <w:color w:val="FFFFFF"/>
          <w:sz w:val="24"/>
          <w:szCs w:val="24"/>
          <w:rtl/>
        </w:rPr>
        <w:t xml:space="preserve">נ </w:t>
      </w:r>
      <w:r w:rsidRPr="00DB7AA7">
        <w:rPr>
          <w:rFonts w:ascii="David" w:hAnsi="David" w:cs="David"/>
          <w:b/>
          <w:bCs/>
          <w:sz w:val="24"/>
          <w:szCs w:val="24"/>
          <w:rtl/>
        </w:rPr>
        <w:t>האחד - המחילה נלמדת מהימנעותה של האשה לתבוע מזונותיה מתוך ציפיה לשלום בית.</w:t>
      </w:r>
    </w:p>
    <w:p w14:paraId="3954041B" w14:textId="77777777" w:rsidR="00644C59" w:rsidRPr="00DB7AA7" w:rsidRDefault="0013306E" w:rsidP="00FF4525">
      <w:pPr>
        <w:tabs>
          <w:tab w:val="left" w:pos="288"/>
          <w:tab w:val="left" w:pos="720"/>
        </w:tabs>
        <w:autoSpaceDE w:val="0"/>
        <w:autoSpaceDN w:val="0"/>
        <w:adjustRightInd w:val="0"/>
        <w:spacing w:after="360" w:line="240" w:lineRule="auto"/>
        <w:ind w:firstLine="283"/>
        <w:jc w:val="both"/>
        <w:rPr>
          <w:rFonts w:ascii="David" w:hAnsi="David" w:cs="David"/>
          <w:b/>
          <w:bCs/>
          <w:sz w:val="24"/>
          <w:szCs w:val="24"/>
          <w:rtl/>
        </w:rPr>
      </w:pPr>
      <w:r w:rsidRPr="00DB7AA7">
        <w:rPr>
          <w:rFonts w:ascii="David" w:hAnsi="David" w:cs="David"/>
          <w:b/>
          <w:bCs/>
          <w:sz w:val="24"/>
          <w:szCs w:val="24"/>
        </w:rPr>
        <w:tab/>
      </w:r>
      <w:r w:rsidRPr="00DB7AA7">
        <w:rPr>
          <w:rFonts w:ascii="David" w:hAnsi="David" w:cs="David"/>
          <w:b/>
          <w:bCs/>
          <w:sz w:val="24"/>
          <w:szCs w:val="24"/>
          <w:rtl/>
        </w:rPr>
        <w:tab/>
        <w:t>בנדון דנן ראשית - מדובר בהורים גרושים אין משמעות ל"שלום בית</w:t>
      </w:r>
      <w:r w:rsidRPr="00DB7AA7">
        <w:rPr>
          <w:rFonts w:ascii="David" w:hAnsi="David" w:cs="David"/>
          <w:b/>
          <w:bCs/>
          <w:sz w:val="24"/>
          <w:szCs w:val="24"/>
        </w:rPr>
        <w:t>".</w:t>
      </w:r>
    </w:p>
    <w:p w14:paraId="672E5334" w14:textId="77777777" w:rsidR="00644C59" w:rsidRPr="00DB7AA7" w:rsidRDefault="0013306E" w:rsidP="00930360">
      <w:pPr>
        <w:tabs>
          <w:tab w:val="left" w:pos="288"/>
          <w:tab w:val="left" w:pos="720"/>
        </w:tabs>
        <w:autoSpaceDE w:val="0"/>
        <w:autoSpaceDN w:val="0"/>
        <w:adjustRightInd w:val="0"/>
        <w:spacing w:after="0" w:line="240" w:lineRule="auto"/>
        <w:jc w:val="both"/>
        <w:rPr>
          <w:rFonts w:ascii="David" w:hAnsi="David" w:cs="David"/>
          <w:b/>
          <w:bCs/>
          <w:sz w:val="24"/>
          <w:szCs w:val="24"/>
          <w:rtl/>
        </w:rPr>
      </w:pPr>
      <w:r w:rsidRPr="00DB7AA7">
        <w:rPr>
          <w:rFonts w:ascii="David" w:hAnsi="David" w:cs="David"/>
          <w:b/>
          <w:bCs/>
          <w:sz w:val="24"/>
          <w:szCs w:val="24"/>
          <w:rtl/>
        </w:rPr>
        <w:lastRenderedPageBreak/>
        <w:tab/>
      </w:r>
      <w:r w:rsidRPr="00DB7AA7">
        <w:rPr>
          <w:rFonts w:ascii="David" w:hAnsi="David" w:cs="David"/>
          <w:b/>
          <w:bCs/>
          <w:sz w:val="24"/>
          <w:szCs w:val="24"/>
          <w:rtl/>
        </w:rPr>
        <w:tab/>
        <w:t xml:space="preserve">שנית - אין מדובר במי שלא תבעה מזונותיה, או מזונות ילדיה. אם המשיב תבעה מזונות </w:t>
      </w:r>
    </w:p>
    <w:p w14:paraId="773AD218" w14:textId="77777777" w:rsidR="00644C59" w:rsidRPr="00DB7AA7" w:rsidRDefault="0013306E" w:rsidP="00930360">
      <w:pPr>
        <w:tabs>
          <w:tab w:val="left" w:pos="288"/>
          <w:tab w:val="left" w:pos="720"/>
        </w:tabs>
        <w:autoSpaceDE w:val="0"/>
        <w:autoSpaceDN w:val="0"/>
        <w:adjustRightInd w:val="0"/>
        <w:spacing w:after="360" w:line="240" w:lineRule="auto"/>
        <w:jc w:val="both"/>
        <w:rPr>
          <w:rFonts w:ascii="David" w:hAnsi="David" w:cs="David"/>
          <w:b/>
          <w:bCs/>
          <w:sz w:val="24"/>
          <w:szCs w:val="24"/>
        </w:rPr>
      </w:pPr>
      <w:r w:rsidRPr="00DB7AA7">
        <w:rPr>
          <w:rFonts w:ascii="David" w:hAnsi="David" w:cs="David"/>
          <w:b/>
          <w:bCs/>
          <w:sz w:val="24"/>
          <w:szCs w:val="24"/>
          <w:rtl/>
        </w:rPr>
        <w:t xml:space="preserve">              ומדובר עתה אך בגבייתם</w:t>
      </w:r>
      <w:r w:rsidRPr="00DB7AA7">
        <w:rPr>
          <w:rFonts w:ascii="David" w:hAnsi="David" w:cs="David"/>
          <w:b/>
          <w:bCs/>
          <w:sz w:val="24"/>
          <w:szCs w:val="24"/>
        </w:rPr>
        <w:t>.</w:t>
      </w:r>
      <w:r w:rsidRPr="00DB7AA7">
        <w:rPr>
          <w:rFonts w:ascii="David" w:hAnsi="David" w:cs="David"/>
          <w:b/>
          <w:bCs/>
          <w:sz w:val="24"/>
          <w:szCs w:val="24"/>
          <w:rtl/>
        </w:rPr>
        <w:t>"</w:t>
      </w:r>
    </w:p>
    <w:p w14:paraId="4BBC4631" w14:textId="189C4659" w:rsidR="00644C59" w:rsidRPr="00DB7AA7" w:rsidRDefault="0013306E" w:rsidP="00FF4525">
      <w:pPr>
        <w:tabs>
          <w:tab w:val="left" w:pos="2409"/>
          <w:tab w:val="left" w:pos="2551"/>
        </w:tabs>
        <w:spacing w:before="120" w:after="360" w:line="240" w:lineRule="auto"/>
        <w:ind w:left="360"/>
        <w:jc w:val="both"/>
        <w:rPr>
          <w:rFonts w:ascii="David" w:eastAsia="Times New Roman" w:hAnsi="David" w:cs="David"/>
          <w:b/>
          <w:bCs/>
          <w:noProof/>
          <w:sz w:val="20"/>
          <w:szCs w:val="24"/>
          <w:u w:val="single"/>
          <w:lang w:eastAsia="he-IL"/>
        </w:rPr>
      </w:pPr>
      <w:r w:rsidRPr="00DB7AA7">
        <w:rPr>
          <w:rFonts w:ascii="David" w:eastAsia="Times New Roman" w:hAnsi="David" w:cs="David"/>
          <w:b/>
          <w:bCs/>
          <w:noProof/>
          <w:sz w:val="20"/>
          <w:szCs w:val="24"/>
          <w:u w:val="single"/>
          <w:rtl/>
          <w:lang w:eastAsia="he-IL"/>
        </w:rPr>
        <w:t>טענת השיהוי</w:t>
      </w:r>
    </w:p>
    <w:p w14:paraId="10DD99E0" w14:textId="77777777" w:rsidR="00644C59" w:rsidRPr="00DB7AA7" w:rsidRDefault="0013306E" w:rsidP="00FF4525">
      <w:pPr>
        <w:pStyle w:val="ListParagraph"/>
        <w:numPr>
          <w:ilvl w:val="0"/>
          <w:numId w:val="5"/>
        </w:numPr>
        <w:spacing w:after="360" w:line="240" w:lineRule="auto"/>
        <w:contextualSpacing w:val="0"/>
        <w:jc w:val="both"/>
        <w:rPr>
          <w:rFonts w:ascii="David" w:hAnsi="David" w:cs="David"/>
          <w:sz w:val="24"/>
          <w:szCs w:val="24"/>
        </w:rPr>
      </w:pPr>
      <w:r w:rsidRPr="00DB7AA7">
        <w:rPr>
          <w:rFonts w:ascii="David" w:hAnsi="David" w:cs="David"/>
          <w:sz w:val="24"/>
          <w:szCs w:val="24"/>
          <w:shd w:val="clear" w:color="auto" w:fill="FFFFFF"/>
          <w:rtl/>
        </w:rPr>
        <w:t>בתמ"ש (ב"ש) 14303/05</w:t>
      </w:r>
      <w:r w:rsidRPr="00DB7AA7">
        <w:rPr>
          <w:rStyle w:val="apple-converted-space"/>
          <w:rFonts w:ascii="David" w:hAnsi="David" w:cs="David"/>
          <w:sz w:val="24"/>
          <w:szCs w:val="24"/>
          <w:shd w:val="clear" w:color="auto" w:fill="FFFFFF"/>
          <w:rtl/>
        </w:rPr>
        <w:t> </w:t>
      </w:r>
      <w:r w:rsidRPr="00DB7AA7">
        <w:rPr>
          <w:rStyle w:val="Strong"/>
          <w:rFonts w:ascii="David" w:hAnsi="David" w:cs="David"/>
          <w:sz w:val="24"/>
          <w:szCs w:val="24"/>
          <w:bdr w:val="none" w:sz="0" w:space="0" w:color="auto" w:frame="1"/>
          <w:shd w:val="clear" w:color="auto" w:fill="FFFFFF"/>
          <w:rtl/>
        </w:rPr>
        <w:t xml:space="preserve">ב. ר. נ' ב. י. 18.04.2007 </w:t>
      </w:r>
      <w:r w:rsidRPr="00DB7AA7">
        <w:rPr>
          <w:rFonts w:ascii="David" w:hAnsi="David" w:cs="David"/>
          <w:sz w:val="24"/>
          <w:szCs w:val="24"/>
          <w:shd w:val="clear" w:color="auto" w:fill="FFFFFF"/>
          <w:rtl/>
        </w:rPr>
        <w:t xml:space="preserve">(פורסם במאגרים) </w:t>
      </w:r>
      <w:r w:rsidRPr="00DB7AA7">
        <w:rPr>
          <w:rFonts w:ascii="David" w:eastAsia="Times New Roman" w:hAnsi="David" w:cs="David"/>
          <w:noProof/>
          <w:sz w:val="24"/>
          <w:szCs w:val="24"/>
          <w:rtl/>
          <w:lang w:eastAsia="he-IL"/>
        </w:rPr>
        <w:t xml:space="preserve">נכתב: </w:t>
      </w:r>
    </w:p>
    <w:p w14:paraId="56E11F0F" w14:textId="77777777" w:rsidR="00644C59" w:rsidRPr="00DB7AA7" w:rsidRDefault="0013306E" w:rsidP="00FF4525">
      <w:pPr>
        <w:pStyle w:val="ListParagraph"/>
        <w:spacing w:after="360" w:line="240" w:lineRule="auto"/>
        <w:contextualSpacing w:val="0"/>
        <w:jc w:val="both"/>
        <w:rPr>
          <w:rFonts w:ascii="David" w:hAnsi="David" w:cs="David"/>
          <w:b/>
          <w:bCs/>
          <w:sz w:val="24"/>
          <w:szCs w:val="24"/>
        </w:rPr>
      </w:pPr>
      <w:r w:rsidRPr="00DB7AA7">
        <w:rPr>
          <w:rFonts w:ascii="David" w:hAnsi="David" w:cs="David"/>
          <w:b/>
          <w:bCs/>
          <w:sz w:val="24"/>
          <w:szCs w:val="24"/>
          <w:rtl/>
        </w:rPr>
        <w:t>"ב</w:t>
      </w:r>
      <w:hyperlink r:id="rId6" w:history="1">
        <w:r w:rsidRPr="00DB7AA7">
          <w:rPr>
            <w:rStyle w:val="Hyperlink"/>
            <w:rFonts w:ascii="David" w:hAnsi="David" w:cs="David"/>
            <w:b/>
            <w:bCs/>
            <w:color w:val="auto"/>
            <w:sz w:val="24"/>
            <w:szCs w:val="24"/>
            <w:rtl/>
          </w:rPr>
          <w:t>תמ"ש 110/02</w:t>
        </w:r>
      </w:hyperlink>
      <w:r w:rsidRPr="00DB7AA7">
        <w:rPr>
          <w:rFonts w:ascii="David" w:hAnsi="David" w:cs="David"/>
          <w:b/>
          <w:bCs/>
          <w:sz w:val="24"/>
          <w:szCs w:val="24"/>
          <w:rtl/>
        </w:rPr>
        <w:t xml:space="preserve"> (י-ם) א.ב.ל נ' ו.ב.ל ז"ל, [פורסם בנבו], נאמר כי,הקריטריונים לדחיית התביעה מחמת שיהוי הם שניים, ראשית, כאשר השיהוי כמוהו כזניחת זכות התביעה או כוויתור על הזכות, ושנית אם עקב השיהוי הורע מצבו של הנתבע.</w:t>
      </w:r>
    </w:p>
    <w:p w14:paraId="15715A31" w14:textId="77777777" w:rsidR="00644C59" w:rsidRPr="00DB7AA7" w:rsidRDefault="0013306E" w:rsidP="00FF4525">
      <w:pPr>
        <w:pStyle w:val="ListParagraph"/>
        <w:spacing w:after="360" w:line="240" w:lineRule="auto"/>
        <w:contextualSpacing w:val="0"/>
        <w:jc w:val="both"/>
        <w:rPr>
          <w:rFonts w:ascii="David" w:hAnsi="David" w:cs="David"/>
          <w:b/>
          <w:bCs/>
          <w:sz w:val="24"/>
          <w:szCs w:val="24"/>
          <w:rtl/>
        </w:rPr>
      </w:pPr>
      <w:r w:rsidRPr="00DB7AA7">
        <w:rPr>
          <w:rFonts w:ascii="David" w:hAnsi="David" w:cs="David"/>
          <w:b/>
          <w:bCs/>
          <w:sz w:val="24"/>
          <w:szCs w:val="24"/>
          <w:rtl/>
        </w:rPr>
        <w:t>בענייננו, לעניין הקריטריון הראשון, מדברי המשיב אני למד כי לא זנח ולא ויתר על זכותו לתבוע את המערערת אלא, בשל לחציה של המערערת , דחה המשיב את תביעתו לשעה נוחה יותר ועתה משכלו הקיצים והבין כי לא יארע לו כל רע – הגיש תביעתו.</w:t>
      </w:r>
    </w:p>
    <w:p w14:paraId="389DD82D" w14:textId="77777777" w:rsidR="00644C59" w:rsidRPr="00DB7AA7" w:rsidRDefault="0013306E" w:rsidP="00FF4525">
      <w:pPr>
        <w:spacing w:after="360" w:line="240" w:lineRule="auto"/>
        <w:ind w:left="720"/>
        <w:jc w:val="both"/>
        <w:rPr>
          <w:rFonts w:ascii="David" w:hAnsi="David" w:cs="David"/>
          <w:b/>
          <w:bCs/>
          <w:sz w:val="24"/>
          <w:szCs w:val="24"/>
          <w:rtl/>
        </w:rPr>
      </w:pPr>
      <w:r w:rsidRPr="00DB7AA7">
        <w:rPr>
          <w:rFonts w:ascii="David" w:hAnsi="David" w:cs="David"/>
          <w:b/>
          <w:bCs/>
          <w:sz w:val="24"/>
          <w:szCs w:val="24"/>
          <w:rtl/>
        </w:rPr>
        <w:t>לעניין הקריטריון השני, על פניו, מסיכומי המערערת, אין עדויות על כך כי בגין השיהוי הורע לכאורה מצבה ו/או נפגעה אפשרותה להוכיח את טענותיה...</w:t>
      </w:r>
    </w:p>
    <w:p w14:paraId="1A7B100A" w14:textId="77777777" w:rsidR="00644C59" w:rsidRPr="00DB7AA7" w:rsidRDefault="0013306E" w:rsidP="00FF4525">
      <w:pPr>
        <w:spacing w:after="360" w:line="240" w:lineRule="auto"/>
        <w:ind w:left="720"/>
        <w:jc w:val="both"/>
        <w:rPr>
          <w:rFonts w:ascii="David" w:hAnsi="David" w:cs="David"/>
          <w:b/>
          <w:bCs/>
          <w:sz w:val="24"/>
          <w:szCs w:val="24"/>
          <w:rtl/>
        </w:rPr>
      </w:pPr>
      <w:r w:rsidRPr="00DB7AA7">
        <w:rPr>
          <w:rFonts w:ascii="David" w:hAnsi="David" w:cs="David"/>
          <w:b/>
          <w:bCs/>
          <w:sz w:val="24"/>
          <w:szCs w:val="24"/>
          <w:rtl/>
        </w:rPr>
        <w:t xml:space="preserve">...מכל מקום, מצינו בפסיקה, גישה הסוברת כי גם אם התקיימו שני הקריטריונים הנ"ל, בכל זאת, אין בכך כדי לחייב דחייה על הסף, אלא, יש לשקול את משמעותה של ההפרה במסגרת בדיקת התובענה בכללותה, תוך התייחסות לנסיבותיו של כל מקרה לגופו.   </w:t>
      </w:r>
    </w:p>
    <w:p w14:paraId="7E23135D" w14:textId="77777777" w:rsidR="00644C59" w:rsidRPr="00DB7AA7" w:rsidRDefault="0013306E" w:rsidP="00FF4525">
      <w:pPr>
        <w:spacing w:after="360" w:line="240" w:lineRule="auto"/>
        <w:ind w:left="720"/>
        <w:jc w:val="both"/>
        <w:rPr>
          <w:rFonts w:ascii="David" w:hAnsi="David" w:cs="David"/>
          <w:b/>
          <w:bCs/>
          <w:sz w:val="24"/>
          <w:szCs w:val="24"/>
          <w:rtl/>
        </w:rPr>
      </w:pPr>
      <w:r w:rsidRPr="00DB7AA7">
        <w:rPr>
          <w:rFonts w:ascii="David" w:hAnsi="David" w:cs="David"/>
          <w:b/>
          <w:bCs/>
          <w:sz w:val="24"/>
          <w:szCs w:val="24"/>
          <w:rtl/>
        </w:rPr>
        <w:t>ב</w:t>
      </w:r>
      <w:r w:rsidRPr="00DB7AA7">
        <w:rPr>
          <w:rFonts w:ascii="David" w:hAnsi="David" w:cs="David"/>
          <w:b/>
          <w:bCs/>
          <w:color w:val="000000"/>
          <w:sz w:val="24"/>
          <w:szCs w:val="24"/>
          <w:rtl/>
        </w:rPr>
        <w:t>ת"א (י-ם) 1119/99</w:t>
      </w:r>
      <w:r w:rsidRPr="00DB7AA7">
        <w:rPr>
          <w:rFonts w:ascii="David" w:hAnsi="David" w:cs="David"/>
          <w:b/>
          <w:bCs/>
          <w:sz w:val="24"/>
          <w:szCs w:val="24"/>
          <w:rtl/>
        </w:rPr>
        <w:t xml:space="preserve"> בירן נ' בירן, [פורסם בנבו]  קבע הש' חשין:</w:t>
      </w:r>
    </w:p>
    <w:p w14:paraId="22AADEC8" w14:textId="77777777" w:rsidR="00644C59" w:rsidRPr="00DB7AA7" w:rsidRDefault="0013306E" w:rsidP="00FF4525">
      <w:pPr>
        <w:spacing w:after="360" w:line="240" w:lineRule="auto"/>
        <w:ind w:left="720"/>
        <w:jc w:val="both"/>
        <w:rPr>
          <w:rFonts w:ascii="David" w:hAnsi="David" w:cs="David"/>
          <w:b/>
          <w:bCs/>
          <w:sz w:val="24"/>
          <w:szCs w:val="24"/>
          <w:rtl/>
        </w:rPr>
      </w:pPr>
      <w:r w:rsidRPr="00DB7AA7">
        <w:rPr>
          <w:rFonts w:ascii="David" w:hAnsi="David" w:cs="David"/>
          <w:b/>
          <w:bCs/>
          <w:sz w:val="24"/>
          <w:szCs w:val="24"/>
          <w:rtl/>
        </w:rPr>
        <w:t xml:space="preserve">"אפילו הייתי מאמץ את עמדת הנתבעים לפיה, יש להחיל את דיני היושר על בקשת התובעים... לא היה בכך כדי לשלול את מתן הסעדים האמורים מהתובעים". </w:t>
      </w:r>
    </w:p>
    <w:p w14:paraId="10316C36" w14:textId="77777777" w:rsidR="00644C59" w:rsidRPr="00DB7AA7" w:rsidRDefault="0013306E" w:rsidP="00FF4525">
      <w:pPr>
        <w:spacing w:after="360" w:line="240" w:lineRule="auto"/>
        <w:ind w:left="720"/>
        <w:jc w:val="both"/>
        <w:rPr>
          <w:rFonts w:ascii="David" w:hAnsi="David" w:cs="David"/>
          <w:b/>
          <w:bCs/>
          <w:sz w:val="24"/>
          <w:szCs w:val="24"/>
          <w:rtl/>
        </w:rPr>
      </w:pPr>
      <w:r w:rsidRPr="00DB7AA7">
        <w:rPr>
          <w:rFonts w:ascii="David" w:hAnsi="David" w:cs="David"/>
          <w:b/>
          <w:bCs/>
          <w:sz w:val="24"/>
          <w:szCs w:val="24"/>
          <w:rtl/>
        </w:rPr>
        <w:t>השיקולים הצריכים לעניין זה נוסחו היטב ע"י ד"ר וינוגרד:</w:t>
      </w:r>
    </w:p>
    <w:p w14:paraId="53110704" w14:textId="77777777" w:rsidR="00644C59" w:rsidRPr="00DB7AA7" w:rsidRDefault="0013306E" w:rsidP="00FF4525">
      <w:pPr>
        <w:spacing w:after="360" w:line="240" w:lineRule="auto"/>
        <w:ind w:left="720"/>
        <w:jc w:val="both"/>
        <w:rPr>
          <w:rFonts w:ascii="David" w:hAnsi="David" w:cs="David"/>
          <w:b/>
          <w:bCs/>
          <w:sz w:val="24"/>
          <w:szCs w:val="24"/>
          <w:rtl/>
        </w:rPr>
      </w:pPr>
      <w:r w:rsidRPr="00DB7AA7">
        <w:rPr>
          <w:rFonts w:ascii="David" w:hAnsi="David" w:cs="David"/>
          <w:b/>
          <w:bCs/>
          <w:sz w:val="24"/>
          <w:szCs w:val="24"/>
          <w:rtl/>
        </w:rPr>
        <w:t>"דעתי היא שאין לתת עדיפות לעיקרי היושר על פני שיקולים רלוונטיים אחרים. יש לשקול את כולם במאזני הנסיבות של כל עניין ועניין...על כן אין זה מוצדק לדחות בקשה לצו מניעה על הסף בשל הפרת אחד מעיקרי היושר (כגון שיהוי...), ויש בכל מקרה לדון בעניין לגופו ולשקול הגורמים הרלוונטיים בנסיבותיו של כל עניין ועניין".</w:t>
      </w:r>
    </w:p>
    <w:p w14:paraId="4F471585" w14:textId="77777777" w:rsidR="00644C59" w:rsidRPr="00DB7AA7" w:rsidRDefault="0013306E" w:rsidP="00FF4525">
      <w:pPr>
        <w:spacing w:after="360" w:line="240" w:lineRule="auto"/>
        <w:ind w:left="720"/>
        <w:jc w:val="both"/>
        <w:rPr>
          <w:rFonts w:ascii="David" w:hAnsi="David" w:cs="David"/>
          <w:b/>
          <w:bCs/>
          <w:sz w:val="24"/>
          <w:szCs w:val="24"/>
          <w:rtl/>
        </w:rPr>
      </w:pPr>
      <w:r w:rsidRPr="00DB7AA7">
        <w:rPr>
          <w:rFonts w:ascii="David" w:hAnsi="David" w:cs="David"/>
          <w:b/>
          <w:bCs/>
          <w:sz w:val="24"/>
          <w:szCs w:val="24"/>
          <w:rtl/>
        </w:rPr>
        <w:t>במקרה דנן, נחה דעתי כי בשל הנסיבות עליהם דיבר המשיב אין זה יהיה צודק לחסום את תביעתו בשל השתהותו.</w:t>
      </w:r>
    </w:p>
    <w:p w14:paraId="75116CD3" w14:textId="77777777" w:rsidR="00644C59" w:rsidRPr="00DB7AA7" w:rsidRDefault="0013306E" w:rsidP="00FF4525">
      <w:pPr>
        <w:spacing w:after="360" w:line="240" w:lineRule="auto"/>
        <w:ind w:left="720"/>
        <w:jc w:val="both"/>
        <w:rPr>
          <w:rFonts w:ascii="David" w:hAnsi="David" w:cs="David"/>
          <w:b/>
          <w:bCs/>
          <w:sz w:val="24"/>
          <w:szCs w:val="24"/>
          <w:rtl/>
        </w:rPr>
      </w:pPr>
      <w:r w:rsidRPr="00DB7AA7">
        <w:rPr>
          <w:rFonts w:ascii="David" w:hAnsi="David" w:cs="David"/>
          <w:b/>
          <w:bCs/>
          <w:sz w:val="24"/>
          <w:szCs w:val="24"/>
          <w:rtl/>
        </w:rPr>
        <w:t xml:space="preserve">בנוסף בפרשת פלוני נ' פלונית, </w:t>
      </w:r>
      <w:hyperlink r:id="rId7" w:history="1">
        <w:r w:rsidRPr="00DB7AA7">
          <w:rPr>
            <w:rStyle w:val="Hyperlink"/>
            <w:rFonts w:ascii="David" w:hAnsi="David" w:cs="David"/>
            <w:b/>
            <w:bCs/>
            <w:color w:val="auto"/>
            <w:sz w:val="24"/>
            <w:szCs w:val="24"/>
            <w:rtl/>
          </w:rPr>
          <w:t>תמ"ש 79052/98</w:t>
        </w:r>
      </w:hyperlink>
      <w:r w:rsidRPr="00DB7AA7">
        <w:rPr>
          <w:rFonts w:ascii="David" w:hAnsi="David" w:cs="David"/>
          <w:b/>
          <w:bCs/>
          <w:sz w:val="24"/>
          <w:szCs w:val="24"/>
          <w:rtl/>
        </w:rPr>
        <w:t xml:space="preserve"> נקבע כי חוסר פעילות לגביית מזונות במשך שנים, אינה מעלה חזקה של מחילה או ויתור, אלא יש בה, לכל היותר, כדי להעביר את הנטל על שכמו של הזוכה להוכיח כי החוב לא סולק.</w:t>
      </w:r>
    </w:p>
    <w:p w14:paraId="3888CEDE" w14:textId="77777777" w:rsidR="00644C59" w:rsidRPr="00DB7AA7" w:rsidRDefault="0013306E" w:rsidP="00FF4525">
      <w:pPr>
        <w:pStyle w:val="ListParagraph"/>
        <w:numPr>
          <w:ilvl w:val="0"/>
          <w:numId w:val="5"/>
        </w:numPr>
        <w:tabs>
          <w:tab w:val="left" w:pos="2409"/>
          <w:tab w:val="left" w:pos="2551"/>
        </w:tabs>
        <w:spacing w:before="120" w:after="360" w:line="240" w:lineRule="auto"/>
        <w:ind w:left="714" w:hanging="357"/>
        <w:contextualSpacing w:val="0"/>
        <w:jc w:val="both"/>
        <w:rPr>
          <w:rFonts w:ascii="David" w:eastAsia="Times New Roman" w:hAnsi="David" w:cs="David"/>
          <w:noProof/>
          <w:sz w:val="24"/>
          <w:szCs w:val="24"/>
          <w:lang w:eastAsia="he-IL"/>
        </w:rPr>
      </w:pPr>
      <w:r w:rsidRPr="00DB7AA7">
        <w:rPr>
          <w:rFonts w:ascii="David" w:eastAsia="Times New Roman" w:hAnsi="David" w:cs="David"/>
          <w:noProof/>
          <w:sz w:val="24"/>
          <w:szCs w:val="24"/>
          <w:rtl/>
          <w:lang w:eastAsia="he-IL"/>
        </w:rPr>
        <w:t xml:space="preserve">אומנם </w:t>
      </w:r>
      <w:r w:rsidRPr="00DB7AA7">
        <w:rPr>
          <w:rFonts w:ascii="David" w:hAnsi="David" w:cs="David"/>
          <w:color w:val="000000"/>
          <w:sz w:val="24"/>
          <w:szCs w:val="24"/>
          <w:shd w:val="clear" w:color="auto" w:fill="FFFFFF"/>
          <w:rtl/>
        </w:rPr>
        <w:t>היקף תחולתן של ההוראות הדיוניות – פרוצדוראליות הקבועות בחוק גם על מי שהחיוב במזונות נובע מהוראות הדין האישי נדונה בהרחבה בע"א 779/76</w:t>
      </w:r>
      <w:r w:rsidRPr="00DB7AA7">
        <w:rPr>
          <w:rStyle w:val="apple-converted-space"/>
          <w:rFonts w:ascii="David" w:hAnsi="David" w:cs="David"/>
          <w:color w:val="000000"/>
          <w:sz w:val="24"/>
          <w:szCs w:val="24"/>
          <w:shd w:val="clear" w:color="auto" w:fill="FFFFFF"/>
          <w:rtl/>
        </w:rPr>
        <w:t> </w:t>
      </w:r>
      <w:r w:rsidRPr="00DB7AA7">
        <w:rPr>
          <w:rFonts w:ascii="David" w:hAnsi="David" w:cs="David"/>
          <w:color w:val="000000"/>
          <w:sz w:val="24"/>
          <w:szCs w:val="24"/>
          <w:shd w:val="clear" w:color="auto" w:fill="FFFFFF"/>
          <w:rtl/>
        </w:rPr>
        <w:t>שוחט נ' שוחט</w:t>
      </w:r>
      <w:r w:rsidRPr="00DB7AA7">
        <w:rPr>
          <w:rFonts w:ascii="David" w:hAnsi="David" w:cs="David"/>
          <w:color w:val="000000"/>
          <w:sz w:val="24"/>
          <w:szCs w:val="24"/>
          <w:shd w:val="clear" w:color="auto" w:fill="FFFFFF"/>
        </w:rPr>
        <w:t xml:space="preserve">, </w:t>
      </w:r>
      <w:r w:rsidRPr="00DB7AA7">
        <w:rPr>
          <w:rFonts w:ascii="David" w:hAnsi="David" w:cs="David"/>
          <w:color w:val="000000"/>
          <w:sz w:val="24"/>
          <w:szCs w:val="24"/>
          <w:shd w:val="clear" w:color="auto" w:fill="FFFFFF"/>
          <w:rtl/>
        </w:rPr>
        <w:t>פ"ד לב(1) 580 (להלן:</w:t>
      </w:r>
      <w:r w:rsidRPr="00DB7AA7">
        <w:rPr>
          <w:rStyle w:val="apple-converted-space"/>
          <w:rFonts w:ascii="David" w:hAnsi="David" w:cs="David"/>
          <w:color w:val="000000"/>
          <w:sz w:val="24"/>
          <w:szCs w:val="24"/>
          <w:shd w:val="clear" w:color="auto" w:fill="FFFFFF"/>
          <w:rtl/>
        </w:rPr>
        <w:t>"</w:t>
      </w:r>
      <w:r w:rsidRPr="00DB7AA7">
        <w:rPr>
          <w:rStyle w:val="apple-converted-space"/>
          <w:rFonts w:ascii="David" w:hAnsi="David" w:cs="David"/>
          <w:color w:val="000000"/>
          <w:sz w:val="24"/>
          <w:szCs w:val="24"/>
          <w:shd w:val="clear" w:color="auto" w:fill="FFFFFF"/>
        </w:rPr>
        <w:t> </w:t>
      </w:r>
      <w:r w:rsidRPr="00DB7AA7">
        <w:rPr>
          <w:rFonts w:ascii="David" w:hAnsi="David" w:cs="David"/>
          <w:color w:val="000000"/>
          <w:sz w:val="24"/>
          <w:szCs w:val="24"/>
          <w:shd w:val="clear" w:color="auto" w:fill="FFFFFF"/>
          <w:rtl/>
        </w:rPr>
        <w:t xml:space="preserve">פרשת שוחט") אולם גם שם נחלקו הדעות וכב' השופט שמגר בדעת מיעוט קבע כי הוראות סעיפים 2(א) ו – 3(א) לחוק ביקשו לקבוע, כי יש לפנות לדין האישי באשר לחובת המזונות, ולגבי יתר הוראות החוק, מסעיף 8 ואילך, אין נפקא מינה אם חובת המזונות עולה מן הדין האישי או מכוח הקבוע בסעיפים 4 עד 7 לחוק. היינו, ההוראה המסייגת בסעיף 11(ב) לחוק – שהינה הוראה פרוצדוראלית במהותה – חלה גם עם מי שהחיוב במזונות חל עליו מכוח הדין האישי. כב' השופט שמגר מדגיש, כי גם אם מיישמים את הוראותיו של סעיף 11(ב) לחוק, אין בכך כדי לפטור את החייב ממזונות. כל שמבקש סעיף 11(ב) לקבוע הוא שלצורך נקיטת הליכי גבייה בהוצאה לפועל, לשם גביית חוב מזונות שהתגבש במועד שקדם בשנתיים או יותר למועד תחילת ההליכים המשפטיים, יש להצטייד </w:t>
      </w:r>
      <w:r w:rsidRPr="00DB7AA7">
        <w:rPr>
          <w:rFonts w:ascii="David" w:hAnsi="David" w:cs="David"/>
          <w:color w:val="000000"/>
          <w:sz w:val="24"/>
          <w:szCs w:val="24"/>
          <w:shd w:val="clear" w:color="auto" w:fill="FFFFFF"/>
          <w:rtl/>
        </w:rPr>
        <w:lastRenderedPageBreak/>
        <w:t>תחילה באישור של ביהמ"ש. בעל דין שלא פעל לגביית מזונות כאמור אינו מפסיד את זכותו לגבות את המזונות, אלא זקוק לאישורו של ביהמ"ש לצורך נקיטת הליכי הגבייה</w:t>
      </w:r>
      <w:r w:rsidRPr="00DB7AA7">
        <w:rPr>
          <w:rFonts w:ascii="David" w:hAnsi="David" w:cs="David"/>
          <w:color w:val="000000"/>
          <w:sz w:val="24"/>
          <w:szCs w:val="24"/>
          <w:shd w:val="clear" w:color="auto" w:fill="FFFFFF"/>
        </w:rPr>
        <w:t>.</w:t>
      </w:r>
    </w:p>
    <w:p w14:paraId="6741C330" w14:textId="77777777" w:rsidR="00644C59" w:rsidRPr="00FF4525" w:rsidRDefault="0013306E" w:rsidP="00FF4525">
      <w:pPr>
        <w:pStyle w:val="ListParagraph"/>
        <w:numPr>
          <w:ilvl w:val="0"/>
          <w:numId w:val="5"/>
        </w:numPr>
        <w:tabs>
          <w:tab w:val="left" w:pos="2409"/>
          <w:tab w:val="left" w:pos="2551"/>
        </w:tabs>
        <w:spacing w:before="120" w:after="360" w:line="240" w:lineRule="auto"/>
        <w:contextualSpacing w:val="0"/>
        <w:jc w:val="both"/>
        <w:rPr>
          <w:rFonts w:ascii="David" w:eastAsia="Times New Roman" w:hAnsi="David" w:cs="David"/>
          <w:noProof/>
          <w:sz w:val="24"/>
          <w:szCs w:val="24"/>
          <w:lang w:eastAsia="he-IL"/>
        </w:rPr>
      </w:pPr>
      <w:r w:rsidRPr="00FF4525">
        <w:rPr>
          <w:rFonts w:ascii="David" w:eastAsia="Times New Roman" w:hAnsi="David" w:cs="David"/>
          <w:noProof/>
          <w:sz w:val="24"/>
          <w:szCs w:val="24"/>
          <w:rtl/>
          <w:lang w:eastAsia="he-IL"/>
        </w:rPr>
        <w:t>ולעניין תביעה זו, הרי שבתחילה ניסתה התובעת לגבות את החוב באמצעות פנייה ישירה וכן פניות באמצעות הדואר לנתבע ורק כאשר הרגישה כי כל נסיונותיה למיצוי ההליכים בדרך של שלום כשלו אזי החליטה לגבות אותם באמצעות לשכת ההוצאה לפועל.</w:t>
      </w:r>
    </w:p>
    <w:p w14:paraId="07C88D66" w14:textId="77777777" w:rsidR="00644C59" w:rsidRPr="00DB7AA7" w:rsidRDefault="0013306E" w:rsidP="00FF4525">
      <w:pPr>
        <w:pStyle w:val="ListParagraph"/>
        <w:numPr>
          <w:ilvl w:val="0"/>
          <w:numId w:val="5"/>
        </w:numPr>
        <w:tabs>
          <w:tab w:val="left" w:pos="2409"/>
          <w:tab w:val="left" w:pos="2551"/>
        </w:tabs>
        <w:spacing w:before="120" w:after="360" w:line="240" w:lineRule="auto"/>
        <w:contextualSpacing w:val="0"/>
        <w:jc w:val="both"/>
        <w:rPr>
          <w:rFonts w:ascii="David" w:eastAsia="Times New Roman" w:hAnsi="David" w:cs="David"/>
          <w:noProof/>
          <w:sz w:val="24"/>
          <w:szCs w:val="24"/>
          <w:lang w:eastAsia="he-IL"/>
        </w:rPr>
      </w:pPr>
      <w:r w:rsidRPr="00DB7AA7">
        <w:rPr>
          <w:rFonts w:ascii="David" w:eastAsia="Times New Roman" w:hAnsi="David" w:cs="David"/>
          <w:color w:val="000000"/>
          <w:sz w:val="24"/>
          <w:szCs w:val="24"/>
          <w:rtl/>
        </w:rPr>
        <w:t>בתיק הוצל"</w:t>
      </w:r>
      <w:r w:rsidRPr="00DB7AA7">
        <w:rPr>
          <w:rFonts w:ascii="David" w:eastAsia="Times New Roman" w:hAnsi="David" w:cs="David"/>
          <w:sz w:val="24"/>
          <w:szCs w:val="24"/>
          <w:rtl/>
        </w:rPr>
        <w:t>פ</w:t>
      </w:r>
      <w:r w:rsidRPr="00DB7AA7">
        <w:rPr>
          <w:rFonts w:ascii="David" w:eastAsia="Times New Roman" w:hAnsi="David" w:cs="David"/>
          <w:b/>
          <w:bCs/>
          <w:sz w:val="24"/>
          <w:szCs w:val="24"/>
          <w:rtl/>
        </w:rPr>
        <w:t xml:space="preserve"> </w:t>
      </w:r>
      <w:bookmarkStart w:id="5" w:name="בית_משפט"/>
      <w:r w:rsidRPr="00DB7AA7">
        <w:rPr>
          <w:rStyle w:val="Strong"/>
          <w:rFonts w:ascii="David" w:hAnsi="David" w:cs="David"/>
          <w:b w:val="0"/>
          <w:bCs w:val="0"/>
          <w:sz w:val="24"/>
          <w:szCs w:val="24"/>
          <w:shd w:val="clear" w:color="auto" w:fill="FFFFFF"/>
          <w:rtl/>
        </w:rPr>
        <w:t>תיק הוצל"פ 01-00484-08-1</w:t>
      </w:r>
      <w:bookmarkEnd w:id="5"/>
      <w:r w:rsidRPr="00DB7AA7">
        <w:rPr>
          <w:rFonts w:ascii="David" w:eastAsia="Times New Roman" w:hAnsi="David" w:cs="David"/>
          <w:b/>
          <w:bCs/>
          <w:sz w:val="24"/>
          <w:szCs w:val="24"/>
          <w:rtl/>
        </w:rPr>
        <w:t xml:space="preserve"> </w:t>
      </w:r>
      <w:r w:rsidRPr="00DB7AA7">
        <w:rPr>
          <w:rFonts w:ascii="David" w:eastAsia="Times New Roman" w:hAnsi="David" w:cs="David"/>
          <w:b/>
          <w:bCs/>
          <w:sz w:val="24"/>
          <w:szCs w:val="24"/>
          <w:u w:val="single"/>
          <w:rtl/>
        </w:rPr>
        <w:t>ט.נ. וע.נ. (החייבים) נ' א.א. (הזוכה),</w:t>
      </w:r>
      <w:r w:rsidRPr="00DB7AA7">
        <w:rPr>
          <w:rFonts w:ascii="David" w:eastAsia="Times New Roman" w:hAnsi="David" w:cs="David"/>
          <w:b/>
          <w:bCs/>
          <w:sz w:val="24"/>
          <w:szCs w:val="24"/>
          <w:rtl/>
        </w:rPr>
        <w:t xml:space="preserve"> </w:t>
      </w:r>
      <w:r w:rsidRPr="00DB7AA7">
        <w:rPr>
          <w:rFonts w:ascii="David" w:eastAsia="Times New Roman" w:hAnsi="David" w:cs="David"/>
          <w:sz w:val="24"/>
          <w:szCs w:val="24"/>
          <w:rtl/>
        </w:rPr>
        <w:t>כתב כב' הרשם יגאל נמרודי כדלקמן:</w:t>
      </w:r>
    </w:p>
    <w:p w14:paraId="33E53FDF" w14:textId="77777777" w:rsidR="00644C59" w:rsidRPr="00DB7AA7" w:rsidRDefault="0013306E" w:rsidP="00FF4525">
      <w:pPr>
        <w:pStyle w:val="ListParagraph"/>
        <w:tabs>
          <w:tab w:val="left" w:pos="2409"/>
          <w:tab w:val="left" w:pos="2551"/>
        </w:tabs>
        <w:spacing w:before="120" w:after="360" w:line="240" w:lineRule="auto"/>
        <w:contextualSpacing w:val="0"/>
        <w:jc w:val="both"/>
        <w:rPr>
          <w:rFonts w:ascii="David" w:eastAsia="Times New Roman" w:hAnsi="David" w:cs="David"/>
          <w:b/>
          <w:bCs/>
          <w:color w:val="000000"/>
          <w:sz w:val="24"/>
          <w:szCs w:val="24"/>
          <w:rtl/>
        </w:rPr>
      </w:pPr>
      <w:r w:rsidRPr="00DB7AA7">
        <w:rPr>
          <w:rFonts w:ascii="David" w:eastAsia="Times New Roman" w:hAnsi="David" w:cs="David"/>
          <w:b/>
          <w:bCs/>
          <w:color w:val="000000"/>
          <w:sz w:val="24"/>
          <w:szCs w:val="24"/>
          <w:rtl/>
        </w:rPr>
        <w:t>"במרוצת השנים הובאה הסוגיה כאמור לפתחו של ביהמ"ש העליון פעמים נוספות. בע"א 610/88 קופלוביץ נ' קופלוביץ, פ"ד מג(1) 834 (11.6.89), קבע כב' הנשיא שמגר, כדלקמן: "השאלה אלו מהוראותיו של החוק לתיקון דני המשפחה (מזונות) חלות על יהודי, מוסלמי, דרושי או חבר אחת העדות הדתיות המפורטות בתוספת הראשונה לפקודת הירושה, ומה משמעותן ומטרתן של המלים "הוראות חוק זה לא יחולו ....", עלתה כבר מספר פעמים בהתדיינויות שונות לפני בית-משפט זה. על פי דרך הפרשנות שנקטתי, ראיתי להבחין בין עצם קביעתה של חובת המזונות לבין ההוראות של החוק, מסעיף 4 ואילך; אולם דעתי נותרה דעת מיעוט. התיזות החולקות בטאו לאחרונה באופן ממצה בע"א 250/83, ואין מקום לשוב ולהציגן כאן. די כי אסכם את ההלכה המחייבת, לפיה המילים "והוראות חוק זה לא יחולו", שוללות תחולתו של החוק כולו, למעט סעיף 2 שבו ...... פרשנות זו אמנם מרוקנת, לדעתי, עם כל הכבוד, את החוק ממשמעותו וממטרתו ..... אולם זוהי הלכה מחייבת, שזכתה לרוב של ארבעה מתוך המותב של חמישה שופטים שדן בע"א 250/83 הנ"ל, ועל-כן איני רואה, במצב הקיים, מקום לסטות ממנה. מקובלת עלי לעניין ההלכה המחייבת עמדתו של השופט ש' לוין שהובעה שם, בעמ' 147, ולא אוסיף".</w:t>
      </w:r>
    </w:p>
    <w:p w14:paraId="7CD0223A" w14:textId="77777777" w:rsidR="00644C59" w:rsidRPr="00DB7AA7" w:rsidRDefault="0013306E" w:rsidP="00FF4525">
      <w:pPr>
        <w:pStyle w:val="ListParagraph"/>
        <w:tabs>
          <w:tab w:val="left" w:pos="2409"/>
          <w:tab w:val="left" w:pos="2551"/>
        </w:tabs>
        <w:spacing w:before="120" w:after="360" w:line="240" w:lineRule="auto"/>
        <w:contextualSpacing w:val="0"/>
        <w:jc w:val="both"/>
        <w:rPr>
          <w:rFonts w:ascii="David" w:eastAsia="Times New Roman" w:hAnsi="David" w:cs="David"/>
          <w:b/>
          <w:bCs/>
          <w:color w:val="000000"/>
          <w:sz w:val="24"/>
          <w:szCs w:val="24"/>
          <w:rtl/>
        </w:rPr>
      </w:pPr>
      <w:r w:rsidRPr="00DB7AA7">
        <w:rPr>
          <w:rFonts w:ascii="David" w:eastAsia="Times New Roman" w:hAnsi="David" w:cs="David"/>
          <w:b/>
          <w:bCs/>
          <w:color w:val="000000"/>
          <w:sz w:val="24"/>
          <w:szCs w:val="24"/>
          <w:rtl/>
        </w:rPr>
        <w:t>בע"א 596/89 חקק נ' חקק, פ"ד מה(4) 749 (16.9.91), נפסק, כי המילים "... והוראות חוק זה ..." בסעיף 2(א) לחוק, משמען כפשוטן: כל הוראות החוק.</w:t>
      </w:r>
    </w:p>
    <w:p w14:paraId="57BE1191" w14:textId="77777777" w:rsidR="00644C59" w:rsidRPr="00DB7AA7" w:rsidRDefault="0013306E" w:rsidP="00FF4525">
      <w:pPr>
        <w:pStyle w:val="ListParagraph"/>
        <w:tabs>
          <w:tab w:val="left" w:pos="2409"/>
          <w:tab w:val="left" w:pos="2551"/>
        </w:tabs>
        <w:spacing w:before="120" w:after="360" w:line="240" w:lineRule="auto"/>
        <w:contextualSpacing w:val="0"/>
        <w:jc w:val="both"/>
        <w:rPr>
          <w:rFonts w:ascii="David" w:eastAsia="Times New Roman" w:hAnsi="David" w:cs="David"/>
          <w:b/>
          <w:bCs/>
          <w:color w:val="000000"/>
          <w:sz w:val="24"/>
          <w:szCs w:val="24"/>
          <w:rtl/>
        </w:rPr>
      </w:pPr>
      <w:r w:rsidRPr="00DB7AA7">
        <w:rPr>
          <w:rFonts w:ascii="David" w:eastAsia="Times New Roman" w:hAnsi="David" w:cs="David"/>
          <w:b/>
          <w:bCs/>
          <w:color w:val="000000"/>
          <w:sz w:val="24"/>
          <w:szCs w:val="24"/>
          <w:rtl/>
        </w:rPr>
        <w:t>בפסק-דינו של ביהמ"ש העליון, ע"א 6763/93 סורק נ' סורק, תק - על 95(2) 975 (6.7.95) (להלן – פרשת סורק), אשר נפסק לאחר שנכנס לתוקף חוק יסוד: כבוד האדם וחירותו, קובע כב' הנשיא שמגר בהאי לישנא:</w:t>
      </w:r>
    </w:p>
    <w:p w14:paraId="31B4C350" w14:textId="77777777" w:rsidR="00644C59" w:rsidRPr="00DB7AA7" w:rsidRDefault="0013306E" w:rsidP="00FF4525">
      <w:pPr>
        <w:pStyle w:val="ListParagraph"/>
        <w:tabs>
          <w:tab w:val="left" w:pos="2409"/>
          <w:tab w:val="left" w:pos="2551"/>
        </w:tabs>
        <w:spacing w:before="120" w:after="360" w:line="240" w:lineRule="auto"/>
        <w:contextualSpacing w:val="0"/>
        <w:jc w:val="both"/>
        <w:rPr>
          <w:rFonts w:ascii="David" w:eastAsia="Times New Roman" w:hAnsi="David" w:cs="David"/>
          <w:b/>
          <w:bCs/>
          <w:color w:val="000000"/>
          <w:sz w:val="24"/>
          <w:szCs w:val="24"/>
          <w:rtl/>
        </w:rPr>
      </w:pPr>
      <w:r w:rsidRPr="00DB7AA7">
        <w:rPr>
          <w:rFonts w:ascii="David" w:eastAsia="Times New Roman" w:hAnsi="David" w:cs="David"/>
          <w:b/>
          <w:bCs/>
          <w:color w:val="000000"/>
          <w:sz w:val="24"/>
          <w:szCs w:val="24"/>
          <w:rtl/>
        </w:rPr>
        <w:t>"המערער טען כי במקרה דנן יש לפנות להוראותיו של סעיף 12 לחוק לתיקון דיני המשפחה (מזונות), התשי"ט-1959.</w:t>
      </w:r>
    </w:p>
    <w:p w14:paraId="7EB5B385" w14:textId="77777777" w:rsidR="00644C59" w:rsidRPr="00DB7AA7" w:rsidRDefault="0013306E" w:rsidP="00FF4525">
      <w:pPr>
        <w:pStyle w:val="ListParagraph"/>
        <w:tabs>
          <w:tab w:val="left" w:pos="2409"/>
          <w:tab w:val="left" w:pos="2551"/>
        </w:tabs>
        <w:spacing w:before="120" w:after="360" w:line="240" w:lineRule="auto"/>
        <w:contextualSpacing w:val="0"/>
        <w:jc w:val="both"/>
        <w:rPr>
          <w:rFonts w:ascii="David" w:eastAsia="Times New Roman" w:hAnsi="David" w:cs="David"/>
          <w:b/>
          <w:bCs/>
          <w:noProof/>
          <w:sz w:val="24"/>
          <w:szCs w:val="24"/>
          <w:rtl/>
          <w:lang w:eastAsia="he-IL"/>
        </w:rPr>
      </w:pPr>
      <w:r w:rsidRPr="00DB7AA7">
        <w:rPr>
          <w:rFonts w:ascii="David" w:eastAsia="Times New Roman" w:hAnsi="David" w:cs="David"/>
          <w:b/>
          <w:bCs/>
          <w:color w:val="000000"/>
          <w:sz w:val="24"/>
          <w:szCs w:val="24"/>
          <w:rtl/>
        </w:rPr>
        <w:t>לצערי שרירה וקיימת בעניין זה הלכת הרוב לפיה – במקרים בהם חל הדין האישי לפי סעיף 3(א) לחוק הנ"ל, אין יתר הוראותיו של החוק הנ"ל חלות (ע"א 779/76 שוחט נ' שוחט, פ"ד לב(1) 580; ע"א 13/78 ספורטה נ' ספורטה, פ"ד לב(2) 709)".</w:t>
      </w:r>
      <w:r w:rsidRPr="00DB7AA7">
        <w:rPr>
          <w:rFonts w:ascii="David" w:eastAsia="Times New Roman" w:hAnsi="David" w:cs="David"/>
          <w:b/>
          <w:bCs/>
          <w:noProof/>
          <w:sz w:val="24"/>
          <w:szCs w:val="24"/>
          <w:rtl/>
          <w:lang w:eastAsia="he-IL"/>
        </w:rPr>
        <w:t>..</w:t>
      </w:r>
    </w:p>
    <w:p w14:paraId="1BB4DEE5" w14:textId="77777777" w:rsidR="00644C59" w:rsidRPr="00DB7AA7" w:rsidRDefault="0013306E" w:rsidP="00FF4525">
      <w:pPr>
        <w:pStyle w:val="ListParagraph"/>
        <w:tabs>
          <w:tab w:val="left" w:pos="2409"/>
          <w:tab w:val="left" w:pos="2551"/>
        </w:tabs>
        <w:spacing w:before="120" w:after="360" w:line="240" w:lineRule="auto"/>
        <w:contextualSpacing w:val="0"/>
        <w:jc w:val="both"/>
        <w:rPr>
          <w:rFonts w:ascii="David" w:eastAsia="Times New Roman" w:hAnsi="David" w:cs="David"/>
          <w:b/>
          <w:bCs/>
          <w:noProof/>
          <w:sz w:val="24"/>
          <w:szCs w:val="24"/>
          <w:rtl/>
          <w:lang w:eastAsia="he-IL"/>
        </w:rPr>
      </w:pPr>
      <w:r w:rsidRPr="00DB7AA7">
        <w:rPr>
          <w:rFonts w:ascii="David" w:eastAsia="Times New Roman" w:hAnsi="David" w:cs="David"/>
          <w:b/>
          <w:bCs/>
          <w:noProof/>
          <w:sz w:val="24"/>
          <w:szCs w:val="24"/>
          <w:rtl/>
          <w:lang w:eastAsia="he-IL"/>
        </w:rPr>
        <w:t>...</w:t>
      </w:r>
      <w:r w:rsidRPr="00DB7AA7">
        <w:rPr>
          <w:rFonts w:ascii="David" w:eastAsia="Times New Roman" w:hAnsi="David" w:cs="David"/>
          <w:b/>
          <w:bCs/>
          <w:color w:val="000000"/>
          <w:sz w:val="24"/>
          <w:szCs w:val="24"/>
          <w:rtl/>
        </w:rPr>
        <w:t>יוצא, אפוא, כי בהתאם לדין, אין תחולה להוראותיו של החוק – הן ההוראות המהותיות והן ההוראות הפרוצדוראלית (לרבות ההוראה בסעיף 11(ב) לחוק) – על בעלי דין שהחיוב במזונות המתייחס אליהם נובע מהוראות הדין האישי.</w:t>
      </w:r>
      <w:r w:rsidRPr="00DB7AA7">
        <w:rPr>
          <w:rFonts w:ascii="David" w:eastAsia="Times New Roman" w:hAnsi="David" w:cs="David"/>
          <w:b/>
          <w:bCs/>
          <w:noProof/>
          <w:sz w:val="24"/>
          <w:szCs w:val="24"/>
          <w:rtl/>
          <w:lang w:eastAsia="he-IL"/>
        </w:rPr>
        <w:t>"</w:t>
      </w:r>
    </w:p>
    <w:p w14:paraId="60597830" w14:textId="77777777" w:rsidR="00644C59" w:rsidRPr="00FF4525" w:rsidRDefault="0013306E" w:rsidP="00FF4525">
      <w:pPr>
        <w:pStyle w:val="ListParagraph"/>
        <w:numPr>
          <w:ilvl w:val="0"/>
          <w:numId w:val="6"/>
        </w:numPr>
        <w:tabs>
          <w:tab w:val="left" w:pos="2409"/>
          <w:tab w:val="left" w:pos="2551"/>
        </w:tabs>
        <w:spacing w:before="120" w:after="360" w:line="240" w:lineRule="auto"/>
        <w:ind w:left="476" w:hanging="450"/>
        <w:contextualSpacing w:val="0"/>
        <w:jc w:val="both"/>
        <w:rPr>
          <w:rFonts w:ascii="David" w:eastAsia="Times New Roman" w:hAnsi="David" w:cs="David"/>
          <w:b/>
          <w:bCs/>
          <w:noProof/>
          <w:sz w:val="20"/>
          <w:szCs w:val="24"/>
          <w:u w:val="single"/>
          <w:lang w:eastAsia="he-IL"/>
        </w:rPr>
      </w:pPr>
      <w:r w:rsidRPr="00FF4525">
        <w:rPr>
          <w:rFonts w:ascii="David" w:eastAsia="Times New Roman" w:hAnsi="David" w:cs="David"/>
          <w:b/>
          <w:bCs/>
          <w:noProof/>
          <w:sz w:val="20"/>
          <w:szCs w:val="24"/>
          <w:u w:val="single"/>
          <w:rtl/>
          <w:lang w:eastAsia="he-IL"/>
        </w:rPr>
        <w:t>סוף דבר</w:t>
      </w:r>
    </w:p>
    <w:p w14:paraId="2A87820C" w14:textId="77777777" w:rsidR="00644C59" w:rsidRPr="00DB7AA7" w:rsidRDefault="0013306E" w:rsidP="00FF4525">
      <w:pPr>
        <w:pStyle w:val="ListParagraph"/>
        <w:numPr>
          <w:ilvl w:val="0"/>
          <w:numId w:val="5"/>
        </w:numPr>
        <w:tabs>
          <w:tab w:val="left" w:pos="2409"/>
          <w:tab w:val="left" w:pos="2551"/>
        </w:tabs>
        <w:spacing w:before="120" w:after="360" w:line="240" w:lineRule="auto"/>
        <w:contextualSpacing w:val="0"/>
        <w:jc w:val="both"/>
        <w:rPr>
          <w:rFonts w:ascii="David" w:eastAsia="Times New Roman" w:hAnsi="David" w:cs="David"/>
          <w:noProof/>
          <w:sz w:val="24"/>
          <w:szCs w:val="24"/>
          <w:lang w:eastAsia="he-IL"/>
        </w:rPr>
      </w:pPr>
      <w:r w:rsidRPr="00DB7AA7">
        <w:rPr>
          <w:rFonts w:ascii="David" w:eastAsia="Times New Roman" w:hAnsi="David" w:cs="David"/>
          <w:noProof/>
          <w:sz w:val="24"/>
          <w:szCs w:val="24"/>
          <w:rtl/>
          <w:lang w:eastAsia="he-IL"/>
        </w:rPr>
        <w:t>לאור האמור לעיל מבוקש בזאת מבית המשפט הנכבד ליתן את פסק דינו ולהורות לראש לשכת ההוצל"פ לפעול לגביית הפרשי ריבית והצמדה בגין מזונות עבר וכן הוצאות מדור לתקופה ובהתאם לבקשות אשר הוגשו והמפורטות לעיל.</w:t>
      </w:r>
    </w:p>
    <w:p w14:paraId="07FFA67F" w14:textId="77777777" w:rsidR="00644C59" w:rsidRPr="00DB7AA7" w:rsidRDefault="0013306E" w:rsidP="00FF4525">
      <w:pPr>
        <w:pStyle w:val="ListParagraph"/>
        <w:numPr>
          <w:ilvl w:val="0"/>
          <w:numId w:val="5"/>
        </w:numPr>
        <w:tabs>
          <w:tab w:val="left" w:pos="2409"/>
          <w:tab w:val="left" w:pos="2551"/>
        </w:tabs>
        <w:spacing w:before="120" w:after="360" w:line="240" w:lineRule="auto"/>
        <w:contextualSpacing w:val="0"/>
        <w:jc w:val="both"/>
        <w:rPr>
          <w:rFonts w:ascii="David" w:eastAsia="Times New Roman" w:hAnsi="David" w:cs="David"/>
          <w:noProof/>
          <w:sz w:val="24"/>
          <w:szCs w:val="24"/>
          <w:rtl/>
          <w:lang w:eastAsia="he-IL"/>
        </w:rPr>
      </w:pPr>
      <w:r w:rsidRPr="00DB7AA7">
        <w:rPr>
          <w:rFonts w:ascii="David" w:eastAsia="Times New Roman" w:hAnsi="David" w:cs="David"/>
          <w:noProof/>
          <w:sz w:val="24"/>
          <w:szCs w:val="24"/>
          <w:rtl/>
          <w:lang w:eastAsia="he-IL"/>
        </w:rPr>
        <w:t xml:space="preserve">לחייב את הנתבע </w:t>
      </w:r>
      <w:r w:rsidRPr="00DB7AA7">
        <w:rPr>
          <w:rFonts w:ascii="David" w:hAnsi="David" w:cs="David"/>
          <w:sz w:val="24"/>
          <w:szCs w:val="24"/>
          <w:rtl/>
        </w:rPr>
        <w:t xml:space="preserve">בהוצאות ההליך ושכ"ט עו"ד כדין. </w:t>
      </w:r>
    </w:p>
    <w:p w14:paraId="75A31DB1" w14:textId="6B9CBCD3" w:rsidR="00644C59" w:rsidRDefault="00644C59">
      <w:pPr>
        <w:pStyle w:val="ListParagraph"/>
        <w:tabs>
          <w:tab w:val="left" w:pos="2409"/>
          <w:tab w:val="left" w:pos="2551"/>
        </w:tabs>
        <w:spacing w:before="120" w:after="120" w:line="360" w:lineRule="auto"/>
        <w:jc w:val="both"/>
        <w:rPr>
          <w:rFonts w:ascii="David" w:eastAsia="Times New Roman" w:hAnsi="David" w:cs="David"/>
          <w:b/>
          <w:bCs/>
          <w:noProof/>
          <w:sz w:val="24"/>
          <w:szCs w:val="24"/>
          <w:rtl/>
          <w:lang w:eastAsia="he-IL"/>
        </w:rPr>
      </w:pPr>
    </w:p>
    <w:p w14:paraId="7704DE6A" w14:textId="10D57AC7" w:rsidR="00395F62" w:rsidRDefault="00395F62">
      <w:pPr>
        <w:pStyle w:val="ListParagraph"/>
        <w:tabs>
          <w:tab w:val="left" w:pos="2409"/>
          <w:tab w:val="left" w:pos="2551"/>
        </w:tabs>
        <w:spacing w:before="120" w:after="120" w:line="360" w:lineRule="auto"/>
        <w:jc w:val="both"/>
        <w:rPr>
          <w:rFonts w:ascii="David" w:eastAsia="Times New Roman" w:hAnsi="David" w:cs="David"/>
          <w:b/>
          <w:bCs/>
          <w:noProof/>
          <w:sz w:val="24"/>
          <w:szCs w:val="24"/>
          <w:rtl/>
          <w:lang w:eastAsia="he-IL"/>
        </w:rPr>
      </w:pPr>
    </w:p>
    <w:p w14:paraId="68D3D7EB" w14:textId="77777777" w:rsidR="00395F62" w:rsidRPr="00DB7AA7" w:rsidRDefault="00395F62">
      <w:pPr>
        <w:pStyle w:val="ListParagraph"/>
        <w:tabs>
          <w:tab w:val="left" w:pos="2409"/>
          <w:tab w:val="left" w:pos="2551"/>
        </w:tabs>
        <w:spacing w:before="120" w:after="120" w:line="360" w:lineRule="auto"/>
        <w:jc w:val="both"/>
        <w:rPr>
          <w:rFonts w:ascii="David" w:eastAsia="Times New Roman" w:hAnsi="David" w:cs="David"/>
          <w:b/>
          <w:bCs/>
          <w:noProof/>
          <w:sz w:val="24"/>
          <w:szCs w:val="24"/>
          <w:rtl/>
          <w:lang w:eastAsia="he-IL"/>
        </w:rPr>
      </w:pPr>
    </w:p>
    <w:p w14:paraId="0DB6FB0D" w14:textId="77777777" w:rsidR="00644C59" w:rsidRPr="00FF4525" w:rsidRDefault="0013306E">
      <w:pPr>
        <w:tabs>
          <w:tab w:val="left" w:pos="2409"/>
          <w:tab w:val="left" w:pos="2551"/>
        </w:tabs>
        <w:spacing w:after="0" w:line="240" w:lineRule="auto"/>
        <w:ind w:left="720"/>
        <w:contextualSpacing/>
        <w:rPr>
          <w:rFonts w:ascii="David" w:eastAsia="Times New Roman" w:hAnsi="David" w:cs="David"/>
          <w:b/>
          <w:bCs/>
          <w:noProof/>
          <w:sz w:val="20"/>
          <w:szCs w:val="24"/>
          <w:rtl/>
          <w:lang w:eastAsia="he-IL"/>
        </w:rPr>
      </w:pPr>
      <w:r w:rsidRPr="00FF4525">
        <w:rPr>
          <w:rFonts w:ascii="David" w:eastAsia="Times New Roman" w:hAnsi="David" w:cs="David"/>
          <w:b/>
          <w:bCs/>
          <w:noProof/>
          <w:sz w:val="20"/>
          <w:szCs w:val="24"/>
          <w:rtl/>
          <w:lang w:eastAsia="he-IL"/>
        </w:rPr>
        <w:t xml:space="preserve">                                                                                                             ______________</w:t>
      </w:r>
    </w:p>
    <w:p w14:paraId="3FC9DCFE" w14:textId="436C3EC6" w:rsidR="00644C59" w:rsidRPr="00FF4525" w:rsidRDefault="0013306E">
      <w:pPr>
        <w:tabs>
          <w:tab w:val="left" w:pos="2409"/>
          <w:tab w:val="left" w:pos="2551"/>
        </w:tabs>
        <w:spacing w:after="0" w:line="240" w:lineRule="auto"/>
        <w:ind w:left="720"/>
        <w:contextualSpacing/>
        <w:rPr>
          <w:rFonts w:ascii="David" w:eastAsia="Times New Roman" w:hAnsi="David" w:cs="David"/>
          <w:b/>
          <w:bCs/>
          <w:noProof/>
          <w:sz w:val="20"/>
          <w:szCs w:val="24"/>
          <w:rtl/>
          <w:lang w:eastAsia="he-IL"/>
        </w:rPr>
      </w:pPr>
      <w:r w:rsidRPr="00FF4525">
        <w:rPr>
          <w:rFonts w:ascii="David" w:eastAsia="Times New Roman" w:hAnsi="David" w:cs="David"/>
          <w:b/>
          <w:bCs/>
          <w:noProof/>
          <w:sz w:val="20"/>
          <w:szCs w:val="24"/>
          <w:rtl/>
          <w:lang w:eastAsia="he-IL"/>
        </w:rPr>
        <w:t xml:space="preserve">                                                                                                           </w:t>
      </w:r>
      <w:r w:rsidR="00FF4525">
        <w:rPr>
          <w:rFonts w:ascii="David" w:eastAsia="Times New Roman" w:hAnsi="David" w:cs="David" w:hint="cs"/>
          <w:b/>
          <w:bCs/>
          <w:noProof/>
          <w:sz w:val="20"/>
          <w:szCs w:val="24"/>
          <w:rtl/>
          <w:lang w:eastAsia="he-IL"/>
        </w:rPr>
        <w:t xml:space="preserve">  </w:t>
      </w:r>
      <w:r w:rsidRPr="00FF4525">
        <w:rPr>
          <w:rFonts w:ascii="David" w:eastAsia="Times New Roman" w:hAnsi="David" w:cs="David"/>
          <w:b/>
          <w:bCs/>
          <w:noProof/>
          <w:sz w:val="20"/>
          <w:szCs w:val="24"/>
          <w:rtl/>
          <w:lang w:eastAsia="he-IL"/>
        </w:rPr>
        <w:t xml:space="preserve">   </w:t>
      </w:r>
      <w:r w:rsidR="009F321D">
        <w:rPr>
          <w:rFonts w:ascii="David" w:eastAsia="Times New Roman" w:hAnsi="David" w:cs="David" w:hint="cs"/>
          <w:b/>
          <w:bCs/>
          <w:noProof/>
          <w:sz w:val="20"/>
          <w:szCs w:val="24"/>
          <w:rtl/>
          <w:lang w:eastAsia="he-IL"/>
        </w:rPr>
        <w:t>_______</w:t>
      </w:r>
      <w:r w:rsidRPr="00FF4525">
        <w:rPr>
          <w:rFonts w:ascii="David" w:eastAsia="Times New Roman" w:hAnsi="David" w:cs="David"/>
          <w:b/>
          <w:bCs/>
          <w:noProof/>
          <w:sz w:val="20"/>
          <w:szCs w:val="24"/>
          <w:rtl/>
          <w:lang w:eastAsia="he-IL"/>
        </w:rPr>
        <w:t>,עו"ד</w:t>
      </w:r>
    </w:p>
    <w:p w14:paraId="3E2FC9C0" w14:textId="6A0CB8C2" w:rsidR="00644C59" w:rsidRPr="00FF4525" w:rsidRDefault="0013306E">
      <w:pPr>
        <w:tabs>
          <w:tab w:val="left" w:pos="2409"/>
          <w:tab w:val="left" w:pos="2551"/>
        </w:tabs>
        <w:spacing w:after="0" w:line="240" w:lineRule="auto"/>
        <w:ind w:left="720"/>
        <w:contextualSpacing/>
        <w:rPr>
          <w:rFonts w:ascii="David" w:eastAsia="Times New Roman" w:hAnsi="David" w:cs="David"/>
          <w:b/>
          <w:bCs/>
          <w:noProof/>
          <w:sz w:val="20"/>
          <w:szCs w:val="24"/>
          <w:rtl/>
          <w:lang w:eastAsia="he-IL"/>
        </w:rPr>
      </w:pPr>
      <w:r w:rsidRPr="00FF4525">
        <w:rPr>
          <w:rFonts w:ascii="David" w:eastAsia="Times New Roman" w:hAnsi="David" w:cs="David"/>
          <w:b/>
          <w:bCs/>
          <w:noProof/>
          <w:sz w:val="20"/>
          <w:szCs w:val="24"/>
          <w:rtl/>
          <w:lang w:eastAsia="he-IL"/>
        </w:rPr>
        <w:t xml:space="preserve">                                                                                                               </w:t>
      </w:r>
      <w:r w:rsidR="00FF4525">
        <w:rPr>
          <w:rFonts w:ascii="David" w:eastAsia="Times New Roman" w:hAnsi="David" w:cs="David" w:hint="cs"/>
          <w:b/>
          <w:bCs/>
          <w:noProof/>
          <w:sz w:val="20"/>
          <w:szCs w:val="24"/>
          <w:rtl/>
          <w:lang w:eastAsia="he-IL"/>
        </w:rPr>
        <w:t xml:space="preserve">  </w:t>
      </w:r>
      <w:r w:rsidRPr="00FF4525">
        <w:rPr>
          <w:rFonts w:ascii="David" w:eastAsia="Times New Roman" w:hAnsi="David" w:cs="David"/>
          <w:b/>
          <w:bCs/>
          <w:noProof/>
          <w:sz w:val="20"/>
          <w:szCs w:val="24"/>
          <w:rtl/>
          <w:lang w:eastAsia="he-IL"/>
        </w:rPr>
        <w:t xml:space="preserve"> ב"כ התובעת</w:t>
      </w:r>
    </w:p>
    <w:p w14:paraId="4F27BBF4" w14:textId="42625822"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51DBD7AF" w14:textId="79EE2B6A"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41046F5A" w14:textId="6230B49F"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018E2B4E" w14:textId="46200642"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559CF149" w14:textId="00E164A0"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61DDFF34" w14:textId="1C9446C2"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7F6B4FBF" w14:textId="52DF5955"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5D72F0F6" w14:textId="1D92FA77"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2A9F6CB1" w14:textId="41198463"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0AF8ABC0" w14:textId="00E199CE"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69D61806" w14:textId="5564941E"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0E932475" w14:textId="3DEA6303"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63E54101" w14:textId="6CFBB82D"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0FD57702" w14:textId="0B43477E"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2F1A765B" w14:textId="253B42C6"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6D7D64DE" w14:textId="7E9388AA"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7CEED0E0" w14:textId="70D00999"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780D25E5" w14:textId="2B73B103"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105A8C72" w14:textId="7CCAA868"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05ABAA6D" w14:textId="25B5C8D4"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49E62D74" w14:textId="1E6A9D13"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7B18A4E3" w14:textId="7B7A8123"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25B9127A" w14:textId="4806A86A"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4277B908" w14:textId="06024F89"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21B1F644" w14:textId="43414AB9"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3ADC61A4" w14:textId="339AA087"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4E0D2D9D" w14:textId="6A9BC051"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742DCCEC" w14:textId="1C1B7059"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63B1CE7C" w14:textId="374B682E"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62E86D39" w14:textId="09B30C9C"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34F77B8A" w14:textId="154B1FD2"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7E108816" w14:textId="5B41BB29"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03B607D0" w14:textId="795669F6"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032BF370" w14:textId="4826C6E9"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12A9AD78" w14:textId="12709064"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035FFDDC" w14:textId="149A96E0"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099ABA76" w14:textId="0FF0055B"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060A284A" w14:textId="3E4394CE"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41B07FD2" w14:textId="2B248517"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3312891D" w14:textId="6922FB7E"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7E17086E" w14:textId="54AB673C"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4EA44BA0" w14:textId="0FF6295F"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719DD8BB" w14:textId="4F90791D"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74833F0C" w14:textId="6A16B6AD"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046B0CDA" w14:textId="77777777"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0DF4DF5A" w14:textId="06292B4F"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746F1E3C" w14:textId="65E7C7E6"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07ECB62C" w14:textId="1F1573E1"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p w14:paraId="150B3391" w14:textId="69C5F752" w:rsidR="00FF4525" w:rsidRDefault="00FF4525">
      <w:pPr>
        <w:tabs>
          <w:tab w:val="left" w:pos="2409"/>
          <w:tab w:val="left" w:pos="2551"/>
        </w:tabs>
        <w:spacing w:after="0" w:line="240" w:lineRule="auto"/>
        <w:ind w:left="720"/>
        <w:contextualSpacing/>
        <w:rPr>
          <w:rFonts w:ascii="David" w:eastAsia="Times New Roman" w:hAnsi="David" w:cs="David"/>
          <w:noProof/>
          <w:sz w:val="20"/>
          <w:szCs w:val="24"/>
          <w:rtl/>
          <w:lang w:eastAsia="he-IL"/>
        </w:rPr>
      </w:pPr>
    </w:p>
    <w:sdt>
      <w:sdtPr>
        <w:rPr>
          <w:rFonts w:asciiTheme="minorHAnsi" w:eastAsiaTheme="minorHAnsi" w:hAnsiTheme="minorHAnsi" w:cstheme="minorBidi"/>
          <w:color w:val="auto"/>
          <w:sz w:val="22"/>
          <w:szCs w:val="22"/>
          <w:cs w:val="0"/>
          <w:lang w:val="he-IL" w:eastAsia="en-US"/>
        </w:rPr>
        <w:id w:val="2060521158"/>
        <w:docPartObj>
          <w:docPartGallery w:val="Table of Contents"/>
          <w:docPartUnique/>
        </w:docPartObj>
      </w:sdtPr>
      <w:sdtEndPr>
        <w:rPr>
          <w:b/>
          <w:bCs/>
        </w:rPr>
      </w:sdtEndPr>
      <w:sdtContent>
        <w:p w14:paraId="3152D253" w14:textId="55D3C514" w:rsidR="00FF4525" w:rsidRPr="00FF4525" w:rsidRDefault="00930360" w:rsidP="00FF4525">
          <w:pPr>
            <w:pStyle w:val="TOCHeading"/>
            <w:spacing w:after="480"/>
            <w:rPr>
              <w:rFonts w:ascii="David" w:hAnsi="David" w:cs="David"/>
              <w:b/>
              <w:bCs/>
              <w:color w:val="auto"/>
              <w:sz w:val="44"/>
              <w:szCs w:val="44"/>
              <w:u w:val="single"/>
            </w:rPr>
          </w:pPr>
          <w:r>
            <w:rPr>
              <w:rFonts w:ascii="David" w:hAnsi="David" w:cs="David" w:hint="cs"/>
              <w:b/>
              <w:bCs/>
              <w:color w:val="auto"/>
              <w:sz w:val="44"/>
              <w:szCs w:val="44"/>
              <w:u w:val="single"/>
              <w:lang w:val="he-IL"/>
            </w:rPr>
            <w:t>רשימת נספחי התביעה</w:t>
          </w:r>
        </w:p>
        <w:p w14:paraId="27DD64CF" w14:textId="384C0E04" w:rsidR="00930360" w:rsidRPr="00930360" w:rsidRDefault="00FF4525" w:rsidP="00930360">
          <w:pPr>
            <w:pStyle w:val="TOC1"/>
            <w:tabs>
              <w:tab w:val="right" w:leader="dot" w:pos="8296"/>
            </w:tabs>
            <w:spacing w:after="360"/>
            <w:rPr>
              <w:rFonts w:ascii="David" w:eastAsiaTheme="minorEastAsia" w:hAnsi="David" w:cs="David"/>
              <w:noProof/>
              <w:sz w:val="36"/>
              <w:szCs w:val="36"/>
              <w:rtl/>
            </w:rPr>
          </w:pPr>
          <w:r w:rsidRPr="00930360">
            <w:rPr>
              <w:rFonts w:ascii="David" w:hAnsi="David" w:cs="David"/>
              <w:sz w:val="44"/>
              <w:szCs w:val="44"/>
            </w:rPr>
            <w:fldChar w:fldCharType="begin"/>
          </w:r>
          <w:r w:rsidRPr="00930360">
            <w:rPr>
              <w:rFonts w:ascii="David" w:hAnsi="David" w:cs="David"/>
              <w:sz w:val="44"/>
              <w:szCs w:val="44"/>
            </w:rPr>
            <w:instrText xml:space="preserve"> TOC \o "1-3" \h \z \u </w:instrText>
          </w:r>
          <w:r w:rsidRPr="00930360">
            <w:rPr>
              <w:rFonts w:ascii="David" w:hAnsi="David" w:cs="David"/>
              <w:sz w:val="44"/>
              <w:szCs w:val="44"/>
            </w:rPr>
            <w:fldChar w:fldCharType="separate"/>
          </w:r>
          <w:hyperlink w:anchor="_Toc43047386" w:history="1">
            <w:r w:rsidR="00930360" w:rsidRPr="00930360">
              <w:rPr>
                <w:rStyle w:val="Hyperlink"/>
                <w:rFonts w:ascii="David" w:eastAsia="Times New Roman" w:hAnsi="David" w:cs="David"/>
                <w:b/>
                <w:bCs/>
                <w:noProof/>
                <w:sz w:val="36"/>
                <w:szCs w:val="36"/>
                <w:rtl/>
                <w:lang w:eastAsia="he-IL"/>
              </w:rPr>
              <w:t>פסק הדין מסומן באות א'</w:t>
            </w:r>
          </w:hyperlink>
        </w:p>
        <w:p w14:paraId="73712D31" w14:textId="3836E9A5" w:rsidR="00930360" w:rsidRPr="00930360" w:rsidRDefault="00000000" w:rsidP="00930360">
          <w:pPr>
            <w:pStyle w:val="TOC1"/>
            <w:tabs>
              <w:tab w:val="right" w:leader="dot" w:pos="8296"/>
            </w:tabs>
            <w:spacing w:after="360"/>
            <w:rPr>
              <w:rFonts w:ascii="David" w:eastAsiaTheme="minorEastAsia" w:hAnsi="David" w:cs="David"/>
              <w:noProof/>
              <w:sz w:val="36"/>
              <w:szCs w:val="36"/>
              <w:rtl/>
            </w:rPr>
          </w:pPr>
          <w:hyperlink w:anchor="_Toc43047387" w:history="1">
            <w:r w:rsidR="00930360" w:rsidRPr="00930360">
              <w:rPr>
                <w:rStyle w:val="Hyperlink"/>
                <w:rFonts w:ascii="David" w:eastAsia="Times New Roman" w:hAnsi="David" w:cs="David"/>
                <w:b/>
                <w:bCs/>
                <w:noProof/>
                <w:sz w:val="36"/>
                <w:szCs w:val="36"/>
                <w:rtl/>
                <w:lang w:eastAsia="he-IL"/>
              </w:rPr>
              <w:t>החלטה בקציבת המזונות מסומנת באות ב'</w:t>
            </w:r>
          </w:hyperlink>
        </w:p>
        <w:p w14:paraId="57DFA264" w14:textId="0FF8E001" w:rsidR="00930360" w:rsidRPr="00930360" w:rsidRDefault="00000000" w:rsidP="00930360">
          <w:pPr>
            <w:pStyle w:val="TOC1"/>
            <w:tabs>
              <w:tab w:val="right" w:leader="dot" w:pos="8296"/>
            </w:tabs>
            <w:spacing w:after="360"/>
            <w:rPr>
              <w:rFonts w:ascii="David" w:eastAsiaTheme="minorEastAsia" w:hAnsi="David" w:cs="David"/>
              <w:noProof/>
              <w:sz w:val="36"/>
              <w:szCs w:val="36"/>
              <w:rtl/>
            </w:rPr>
          </w:pPr>
          <w:hyperlink w:anchor="_Toc43047388" w:history="1">
            <w:r w:rsidR="00930360" w:rsidRPr="00930360">
              <w:rPr>
                <w:rStyle w:val="Hyperlink"/>
                <w:rFonts w:ascii="David" w:eastAsia="Times New Roman" w:hAnsi="David" w:cs="David"/>
                <w:b/>
                <w:bCs/>
                <w:noProof/>
                <w:sz w:val="36"/>
                <w:szCs w:val="36"/>
                <w:rtl/>
                <w:lang w:eastAsia="he-IL"/>
              </w:rPr>
              <w:t>דוח הכונס הרשמי מסומן באות ג'</w:t>
            </w:r>
          </w:hyperlink>
        </w:p>
        <w:p w14:paraId="3965BE41" w14:textId="3F263B28" w:rsidR="00930360" w:rsidRPr="00930360" w:rsidRDefault="00000000" w:rsidP="00930360">
          <w:pPr>
            <w:pStyle w:val="TOC1"/>
            <w:tabs>
              <w:tab w:val="right" w:leader="dot" w:pos="8296"/>
            </w:tabs>
            <w:spacing w:after="360"/>
            <w:rPr>
              <w:rFonts w:ascii="David" w:eastAsiaTheme="minorEastAsia" w:hAnsi="David" w:cs="David"/>
              <w:noProof/>
              <w:sz w:val="36"/>
              <w:szCs w:val="36"/>
              <w:rtl/>
            </w:rPr>
          </w:pPr>
          <w:hyperlink w:anchor="_Toc43047389" w:history="1">
            <w:r w:rsidR="00930360" w:rsidRPr="00930360">
              <w:rPr>
                <w:rStyle w:val="Hyperlink"/>
                <w:rFonts w:ascii="David" w:eastAsia="Times New Roman" w:hAnsi="David" w:cs="David"/>
                <w:b/>
                <w:bCs/>
                <w:noProof/>
                <w:sz w:val="36"/>
                <w:szCs w:val="36"/>
                <w:rtl/>
                <w:lang w:eastAsia="he-IL"/>
              </w:rPr>
              <w:t>טבלה בפורמט של ההוצאה לפועל בגין חובות הנתבע כלפי התובעת עבור דמי מזונות בסך של 73,120 ₪, מסומנת באות ד'</w:t>
            </w:r>
          </w:hyperlink>
        </w:p>
        <w:p w14:paraId="0F409AFC" w14:textId="107A1A7B" w:rsidR="00930360" w:rsidRPr="00930360" w:rsidRDefault="00000000" w:rsidP="00930360">
          <w:pPr>
            <w:pStyle w:val="TOC1"/>
            <w:tabs>
              <w:tab w:val="right" w:leader="dot" w:pos="8296"/>
            </w:tabs>
            <w:spacing w:after="360"/>
            <w:rPr>
              <w:rFonts w:ascii="David" w:eastAsiaTheme="minorEastAsia" w:hAnsi="David" w:cs="David"/>
              <w:noProof/>
              <w:sz w:val="36"/>
              <w:szCs w:val="36"/>
              <w:rtl/>
            </w:rPr>
          </w:pPr>
          <w:hyperlink w:anchor="_Toc43047390" w:history="1">
            <w:r w:rsidR="00930360" w:rsidRPr="00930360">
              <w:rPr>
                <w:rStyle w:val="Hyperlink"/>
                <w:rFonts w:ascii="David" w:eastAsia="Times New Roman" w:hAnsi="David" w:cs="David"/>
                <w:b/>
                <w:bCs/>
                <w:noProof/>
                <w:sz w:val="36"/>
                <w:szCs w:val="36"/>
                <w:rtl/>
                <w:lang w:eastAsia="he-IL"/>
              </w:rPr>
              <w:t>טבלה בפורמט של ההוצאה לפועל בגין חובות הנתבע כלפי התובעת עבור מחציות בסך של 11,028 ₪, מסומנת באות ה'</w:t>
            </w:r>
          </w:hyperlink>
        </w:p>
        <w:p w14:paraId="6AAE0716" w14:textId="3C866115" w:rsidR="00FF4525" w:rsidRPr="00DB7AA7" w:rsidRDefault="00FF4525" w:rsidP="00930360">
          <w:pPr>
            <w:pStyle w:val="TOC1"/>
            <w:tabs>
              <w:tab w:val="right" w:leader="dot" w:pos="8296"/>
            </w:tabs>
            <w:spacing w:after="360"/>
            <w:rPr>
              <w:rFonts w:ascii="David" w:eastAsia="Times New Roman" w:hAnsi="David" w:cs="David"/>
              <w:noProof/>
              <w:sz w:val="20"/>
              <w:szCs w:val="24"/>
              <w:lang w:eastAsia="he-IL"/>
            </w:rPr>
          </w:pPr>
          <w:r w:rsidRPr="00930360">
            <w:rPr>
              <w:rFonts w:ascii="David" w:hAnsi="David" w:cs="David"/>
              <w:b/>
              <w:bCs/>
              <w:sz w:val="44"/>
              <w:szCs w:val="44"/>
              <w:lang w:val="he-IL"/>
            </w:rPr>
            <w:fldChar w:fldCharType="end"/>
          </w:r>
        </w:p>
      </w:sdtContent>
    </w:sdt>
    <w:sectPr w:rsidR="00FF4525" w:rsidRPr="00DB7AA7">
      <w:pgSz w:w="11906" w:h="16838"/>
      <w:pgMar w:top="1276"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Arial Narrow"/>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Arial Narrow"/>
    <w:panose1 w:val="020B0604030504040204"/>
    <w:charset w:val="00"/>
    <w:family w:val="swiss"/>
    <w:pitch w:val="variable"/>
    <w:sig w:usb0="E1002EFF" w:usb1="C000605B" w:usb2="00000029" w:usb3="00000000" w:csb0="000101FF" w:csb1="00000000"/>
  </w:font>
  <w:font w:name="David">
    <w:altName w:val="Times New Roman"/>
    <w:panose1 w:val="020E0502060401010101"/>
    <w:charset w:val="00"/>
    <w:family w:val="swiss"/>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6872"/>
    <w:multiLevelType w:val="hybridMultilevel"/>
    <w:tmpl w:val="977A91DA"/>
    <w:lvl w:ilvl="0" w:tplc="1614577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A2ED9"/>
    <w:multiLevelType w:val="hybridMultilevel"/>
    <w:tmpl w:val="8DF4492A"/>
    <w:lvl w:ilvl="0" w:tplc="068ECD60">
      <w:start w:val="2"/>
      <w:numFmt w:val="decimal"/>
      <w:lvlText w:val="%1."/>
      <w:lvlJc w:val="left"/>
      <w:pPr>
        <w:ind w:left="2546" w:hanging="360"/>
      </w:pPr>
      <w:rPr>
        <w:rFonts w:hint="default"/>
      </w:rPr>
    </w:lvl>
    <w:lvl w:ilvl="1" w:tplc="08090019" w:tentative="1">
      <w:start w:val="1"/>
      <w:numFmt w:val="lowerLetter"/>
      <w:lvlText w:val="%2."/>
      <w:lvlJc w:val="left"/>
      <w:pPr>
        <w:ind w:left="3266" w:hanging="360"/>
      </w:pPr>
    </w:lvl>
    <w:lvl w:ilvl="2" w:tplc="0809001B" w:tentative="1">
      <w:start w:val="1"/>
      <w:numFmt w:val="lowerRoman"/>
      <w:lvlText w:val="%3."/>
      <w:lvlJc w:val="right"/>
      <w:pPr>
        <w:ind w:left="3986" w:hanging="180"/>
      </w:pPr>
    </w:lvl>
    <w:lvl w:ilvl="3" w:tplc="0809000F" w:tentative="1">
      <w:start w:val="1"/>
      <w:numFmt w:val="decimal"/>
      <w:lvlText w:val="%4."/>
      <w:lvlJc w:val="left"/>
      <w:pPr>
        <w:ind w:left="4706" w:hanging="360"/>
      </w:pPr>
    </w:lvl>
    <w:lvl w:ilvl="4" w:tplc="08090019" w:tentative="1">
      <w:start w:val="1"/>
      <w:numFmt w:val="lowerLetter"/>
      <w:lvlText w:val="%5."/>
      <w:lvlJc w:val="left"/>
      <w:pPr>
        <w:ind w:left="5426" w:hanging="360"/>
      </w:pPr>
    </w:lvl>
    <w:lvl w:ilvl="5" w:tplc="0809001B" w:tentative="1">
      <w:start w:val="1"/>
      <w:numFmt w:val="lowerRoman"/>
      <w:lvlText w:val="%6."/>
      <w:lvlJc w:val="right"/>
      <w:pPr>
        <w:ind w:left="6146" w:hanging="180"/>
      </w:pPr>
    </w:lvl>
    <w:lvl w:ilvl="6" w:tplc="0809000F" w:tentative="1">
      <w:start w:val="1"/>
      <w:numFmt w:val="decimal"/>
      <w:lvlText w:val="%7."/>
      <w:lvlJc w:val="left"/>
      <w:pPr>
        <w:ind w:left="6866" w:hanging="360"/>
      </w:pPr>
    </w:lvl>
    <w:lvl w:ilvl="7" w:tplc="08090019" w:tentative="1">
      <w:start w:val="1"/>
      <w:numFmt w:val="lowerLetter"/>
      <w:lvlText w:val="%8."/>
      <w:lvlJc w:val="left"/>
      <w:pPr>
        <w:ind w:left="7586" w:hanging="360"/>
      </w:pPr>
    </w:lvl>
    <w:lvl w:ilvl="8" w:tplc="0809001B" w:tentative="1">
      <w:start w:val="1"/>
      <w:numFmt w:val="lowerRoman"/>
      <w:lvlText w:val="%9."/>
      <w:lvlJc w:val="right"/>
      <w:pPr>
        <w:ind w:left="8306" w:hanging="180"/>
      </w:pPr>
    </w:lvl>
  </w:abstractNum>
  <w:abstractNum w:abstractNumId="2" w15:restartNumberingAfterBreak="0">
    <w:nsid w:val="0DE12D43"/>
    <w:multiLevelType w:val="singleLevel"/>
    <w:tmpl w:val="6FF80FFA"/>
    <w:lvl w:ilvl="0">
      <w:start w:val="1"/>
      <w:numFmt w:val="decimal"/>
      <w:lvlText w:val="%1."/>
      <w:lvlJc w:val="left"/>
      <w:pPr>
        <w:tabs>
          <w:tab w:val="num" w:pos="720"/>
        </w:tabs>
        <w:ind w:left="720" w:hanging="720"/>
      </w:pPr>
      <w:rPr>
        <w:rFonts w:cs="Times New Roman"/>
        <w:b w:val="0"/>
        <w:bCs w:val="0"/>
        <w:sz w:val="24"/>
        <w:szCs w:val="24"/>
      </w:rPr>
    </w:lvl>
  </w:abstractNum>
  <w:abstractNum w:abstractNumId="3" w15:restartNumberingAfterBreak="0">
    <w:nsid w:val="199344AA"/>
    <w:multiLevelType w:val="hybridMultilevel"/>
    <w:tmpl w:val="ABE62F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2044B9"/>
    <w:multiLevelType w:val="hybridMultilevel"/>
    <w:tmpl w:val="308E02C0"/>
    <w:lvl w:ilvl="0" w:tplc="C660E364">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AF64E1F"/>
    <w:multiLevelType w:val="hybridMultilevel"/>
    <w:tmpl w:val="BFFA8728"/>
    <w:lvl w:ilvl="0" w:tplc="79F41248">
      <w:start w:val="2"/>
      <w:numFmt w:val="decimal"/>
      <w:lvlText w:val="%1."/>
      <w:lvlJc w:val="left"/>
      <w:pPr>
        <w:ind w:left="2880" w:hanging="360"/>
      </w:pPr>
      <w:rPr>
        <w:rFonts w:hint="default"/>
      </w:r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6" w15:restartNumberingAfterBreak="0">
    <w:nsid w:val="30432991"/>
    <w:multiLevelType w:val="hybridMultilevel"/>
    <w:tmpl w:val="39E0A3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6DE11AE"/>
    <w:multiLevelType w:val="hybridMultilevel"/>
    <w:tmpl w:val="E3D0610E"/>
    <w:lvl w:ilvl="0" w:tplc="B322D6C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1E4E2D"/>
    <w:multiLevelType w:val="hybridMultilevel"/>
    <w:tmpl w:val="62DAB4D4"/>
    <w:lvl w:ilvl="0" w:tplc="2698E60E">
      <w:start w:val="2"/>
      <w:numFmt w:val="decimal"/>
      <w:lvlText w:val="%1."/>
      <w:lvlJc w:val="left"/>
      <w:pPr>
        <w:ind w:left="2906" w:hanging="360"/>
      </w:pPr>
      <w:rPr>
        <w:rFonts w:hint="default"/>
      </w:rPr>
    </w:lvl>
    <w:lvl w:ilvl="1" w:tplc="08090019" w:tentative="1">
      <w:start w:val="1"/>
      <w:numFmt w:val="lowerLetter"/>
      <w:lvlText w:val="%2."/>
      <w:lvlJc w:val="left"/>
      <w:pPr>
        <w:ind w:left="3626" w:hanging="360"/>
      </w:pPr>
    </w:lvl>
    <w:lvl w:ilvl="2" w:tplc="0809001B" w:tentative="1">
      <w:start w:val="1"/>
      <w:numFmt w:val="lowerRoman"/>
      <w:lvlText w:val="%3."/>
      <w:lvlJc w:val="right"/>
      <w:pPr>
        <w:ind w:left="4346" w:hanging="180"/>
      </w:pPr>
    </w:lvl>
    <w:lvl w:ilvl="3" w:tplc="0809000F" w:tentative="1">
      <w:start w:val="1"/>
      <w:numFmt w:val="decimal"/>
      <w:lvlText w:val="%4."/>
      <w:lvlJc w:val="left"/>
      <w:pPr>
        <w:ind w:left="5066" w:hanging="360"/>
      </w:pPr>
    </w:lvl>
    <w:lvl w:ilvl="4" w:tplc="08090019" w:tentative="1">
      <w:start w:val="1"/>
      <w:numFmt w:val="lowerLetter"/>
      <w:lvlText w:val="%5."/>
      <w:lvlJc w:val="left"/>
      <w:pPr>
        <w:ind w:left="5786" w:hanging="360"/>
      </w:pPr>
    </w:lvl>
    <w:lvl w:ilvl="5" w:tplc="0809001B" w:tentative="1">
      <w:start w:val="1"/>
      <w:numFmt w:val="lowerRoman"/>
      <w:lvlText w:val="%6."/>
      <w:lvlJc w:val="right"/>
      <w:pPr>
        <w:ind w:left="6506" w:hanging="180"/>
      </w:pPr>
    </w:lvl>
    <w:lvl w:ilvl="6" w:tplc="0809000F" w:tentative="1">
      <w:start w:val="1"/>
      <w:numFmt w:val="decimal"/>
      <w:lvlText w:val="%7."/>
      <w:lvlJc w:val="left"/>
      <w:pPr>
        <w:ind w:left="7226" w:hanging="360"/>
      </w:pPr>
    </w:lvl>
    <w:lvl w:ilvl="7" w:tplc="08090019" w:tentative="1">
      <w:start w:val="1"/>
      <w:numFmt w:val="lowerLetter"/>
      <w:lvlText w:val="%8."/>
      <w:lvlJc w:val="left"/>
      <w:pPr>
        <w:ind w:left="7946" w:hanging="360"/>
      </w:pPr>
    </w:lvl>
    <w:lvl w:ilvl="8" w:tplc="0809001B" w:tentative="1">
      <w:start w:val="1"/>
      <w:numFmt w:val="lowerRoman"/>
      <w:lvlText w:val="%9."/>
      <w:lvlJc w:val="right"/>
      <w:pPr>
        <w:ind w:left="8666" w:hanging="180"/>
      </w:pPr>
    </w:lvl>
  </w:abstractNum>
  <w:abstractNum w:abstractNumId="9" w15:restartNumberingAfterBreak="0">
    <w:nsid w:val="4C7B41C2"/>
    <w:multiLevelType w:val="hybridMultilevel"/>
    <w:tmpl w:val="D73E0332"/>
    <w:lvl w:ilvl="0" w:tplc="C4E88F56">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AE471A1"/>
    <w:multiLevelType w:val="hybridMultilevel"/>
    <w:tmpl w:val="3CB428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DD7F1C"/>
    <w:multiLevelType w:val="hybridMultilevel"/>
    <w:tmpl w:val="D0F61FC4"/>
    <w:lvl w:ilvl="0" w:tplc="81AC3258">
      <w:start w:val="2"/>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7E030F84"/>
    <w:multiLevelType w:val="hybridMultilevel"/>
    <w:tmpl w:val="B742F386"/>
    <w:lvl w:ilvl="0" w:tplc="040D000F">
      <w:start w:val="1"/>
      <w:numFmt w:val="decimal"/>
      <w:lvlText w:val="%1."/>
      <w:lvlJc w:val="left"/>
      <w:pPr>
        <w:tabs>
          <w:tab w:val="num" w:pos="720"/>
        </w:tabs>
        <w:ind w:left="720" w:right="720" w:hanging="360"/>
      </w:pPr>
      <w:rPr>
        <w:rFonts w:ascii="Times New Roman" w:hAnsi="Times New Roman" w:cs="Times New Roman"/>
      </w:rPr>
    </w:lvl>
    <w:lvl w:ilvl="1" w:tplc="040D0019">
      <w:start w:val="1"/>
      <w:numFmt w:val="lowerLetter"/>
      <w:lvlText w:val="%2."/>
      <w:lvlJc w:val="left"/>
      <w:pPr>
        <w:tabs>
          <w:tab w:val="num" w:pos="1440"/>
        </w:tabs>
        <w:ind w:left="1440" w:right="1440" w:hanging="360"/>
      </w:pPr>
      <w:rPr>
        <w:rFonts w:ascii="Times New Roman" w:hAnsi="Times New Roman" w:cs="Times New Roman"/>
      </w:rPr>
    </w:lvl>
    <w:lvl w:ilvl="2" w:tplc="040D001B">
      <w:start w:val="1"/>
      <w:numFmt w:val="lowerRoman"/>
      <w:lvlText w:val="%3."/>
      <w:lvlJc w:val="right"/>
      <w:pPr>
        <w:tabs>
          <w:tab w:val="num" w:pos="2160"/>
        </w:tabs>
        <w:ind w:left="2160" w:right="2160" w:hanging="180"/>
      </w:pPr>
      <w:rPr>
        <w:rFonts w:ascii="Times New Roman" w:hAnsi="Times New Roman" w:cs="Times New Roman"/>
      </w:rPr>
    </w:lvl>
    <w:lvl w:ilvl="3" w:tplc="040D000F">
      <w:start w:val="1"/>
      <w:numFmt w:val="decimal"/>
      <w:lvlText w:val="%4."/>
      <w:lvlJc w:val="left"/>
      <w:pPr>
        <w:tabs>
          <w:tab w:val="num" w:pos="2880"/>
        </w:tabs>
        <w:ind w:left="2880" w:right="2880" w:hanging="360"/>
      </w:pPr>
      <w:rPr>
        <w:rFonts w:ascii="Times New Roman" w:hAnsi="Times New Roman" w:cs="Times New Roman"/>
      </w:rPr>
    </w:lvl>
    <w:lvl w:ilvl="4" w:tplc="040D0019">
      <w:start w:val="1"/>
      <w:numFmt w:val="lowerLetter"/>
      <w:lvlText w:val="%5."/>
      <w:lvlJc w:val="left"/>
      <w:pPr>
        <w:tabs>
          <w:tab w:val="num" w:pos="3600"/>
        </w:tabs>
        <w:ind w:left="3600" w:right="3600" w:hanging="360"/>
      </w:pPr>
      <w:rPr>
        <w:rFonts w:ascii="Times New Roman" w:hAnsi="Times New Roman" w:cs="Times New Roman"/>
      </w:rPr>
    </w:lvl>
    <w:lvl w:ilvl="5" w:tplc="040D001B">
      <w:start w:val="1"/>
      <w:numFmt w:val="lowerRoman"/>
      <w:lvlText w:val="%6."/>
      <w:lvlJc w:val="right"/>
      <w:pPr>
        <w:tabs>
          <w:tab w:val="num" w:pos="4320"/>
        </w:tabs>
        <w:ind w:left="4320" w:right="4320" w:hanging="180"/>
      </w:pPr>
      <w:rPr>
        <w:rFonts w:ascii="Times New Roman" w:hAnsi="Times New Roman" w:cs="Times New Roman"/>
      </w:rPr>
    </w:lvl>
    <w:lvl w:ilvl="6" w:tplc="040D000F">
      <w:start w:val="1"/>
      <w:numFmt w:val="decimal"/>
      <w:lvlText w:val="%7."/>
      <w:lvlJc w:val="left"/>
      <w:pPr>
        <w:tabs>
          <w:tab w:val="num" w:pos="5040"/>
        </w:tabs>
        <w:ind w:left="5040" w:right="5040" w:hanging="360"/>
      </w:pPr>
      <w:rPr>
        <w:rFonts w:ascii="Times New Roman" w:hAnsi="Times New Roman" w:cs="Times New Roman"/>
      </w:rPr>
    </w:lvl>
    <w:lvl w:ilvl="7" w:tplc="040D0019">
      <w:start w:val="1"/>
      <w:numFmt w:val="lowerLetter"/>
      <w:lvlText w:val="%8."/>
      <w:lvlJc w:val="left"/>
      <w:pPr>
        <w:tabs>
          <w:tab w:val="num" w:pos="5760"/>
        </w:tabs>
        <w:ind w:left="5760" w:right="5760" w:hanging="360"/>
      </w:pPr>
      <w:rPr>
        <w:rFonts w:ascii="Times New Roman" w:hAnsi="Times New Roman" w:cs="Times New Roman"/>
      </w:rPr>
    </w:lvl>
    <w:lvl w:ilvl="8" w:tplc="040D001B">
      <w:start w:val="1"/>
      <w:numFmt w:val="lowerRoman"/>
      <w:lvlText w:val="%9."/>
      <w:lvlJc w:val="right"/>
      <w:pPr>
        <w:tabs>
          <w:tab w:val="num" w:pos="6480"/>
        </w:tabs>
        <w:ind w:left="6480" w:right="6480" w:hanging="180"/>
      </w:pPr>
      <w:rPr>
        <w:rFonts w:ascii="Times New Roman" w:hAnsi="Times New Roman" w:cs="Times New Roman"/>
      </w:rPr>
    </w:lvl>
  </w:abstractNum>
  <w:abstractNum w:abstractNumId="13" w15:restartNumberingAfterBreak="0">
    <w:nsid w:val="7E5F52D6"/>
    <w:multiLevelType w:val="hybridMultilevel"/>
    <w:tmpl w:val="B8B229EC"/>
    <w:lvl w:ilvl="0" w:tplc="99C6A9B2">
      <w:start w:val="1"/>
      <w:numFmt w:val="decimal"/>
      <w:lvlText w:val="%1."/>
      <w:lvlJc w:val="left"/>
      <w:pPr>
        <w:ind w:left="2520" w:hanging="360"/>
      </w:pPr>
      <w:rPr>
        <w:rFonts w:hint="default"/>
        <w:lang w:val="en-US"/>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16cid:durableId="1067992389">
    <w:abstractNumId w:val="9"/>
  </w:num>
  <w:num w:numId="2" w16cid:durableId="646057136">
    <w:abstractNumId w:val="13"/>
  </w:num>
  <w:num w:numId="3" w16cid:durableId="723528948">
    <w:abstractNumId w:val="10"/>
  </w:num>
  <w:num w:numId="4" w16cid:durableId="1411656721">
    <w:abstractNumId w:val="3"/>
  </w:num>
  <w:num w:numId="5" w16cid:durableId="1900701255">
    <w:abstractNumId w:val="7"/>
  </w:num>
  <w:num w:numId="6" w16cid:durableId="609818100">
    <w:abstractNumId w:val="0"/>
  </w:num>
  <w:num w:numId="7" w16cid:durableId="1573001177">
    <w:abstractNumId w:val="12"/>
  </w:num>
  <w:num w:numId="8" w16cid:durableId="402727830">
    <w:abstractNumId w:val="2"/>
  </w:num>
  <w:num w:numId="9" w16cid:durableId="1763405363">
    <w:abstractNumId w:val="4"/>
  </w:num>
  <w:num w:numId="10" w16cid:durableId="785126482">
    <w:abstractNumId w:val="11"/>
  </w:num>
  <w:num w:numId="11" w16cid:durableId="180170301">
    <w:abstractNumId w:val="5"/>
  </w:num>
  <w:num w:numId="12" w16cid:durableId="641689765">
    <w:abstractNumId w:val="1"/>
  </w:num>
  <w:num w:numId="13" w16cid:durableId="1067537514">
    <w:abstractNumId w:val="8"/>
  </w:num>
  <w:num w:numId="14" w16cid:durableId="2561380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C59"/>
    <w:rsid w:val="000E5C22"/>
    <w:rsid w:val="0013306E"/>
    <w:rsid w:val="001B1434"/>
    <w:rsid w:val="001E0E2C"/>
    <w:rsid w:val="00240E05"/>
    <w:rsid w:val="00276A86"/>
    <w:rsid w:val="00354CED"/>
    <w:rsid w:val="00395F62"/>
    <w:rsid w:val="00644C59"/>
    <w:rsid w:val="008F0EE4"/>
    <w:rsid w:val="0090697F"/>
    <w:rsid w:val="00930360"/>
    <w:rsid w:val="009F321D"/>
    <w:rsid w:val="00AA1DE0"/>
    <w:rsid w:val="00B44386"/>
    <w:rsid w:val="00C14D16"/>
    <w:rsid w:val="00C31F46"/>
    <w:rsid w:val="00D95178"/>
    <w:rsid w:val="00DB7AA7"/>
    <w:rsid w:val="00DD7779"/>
    <w:rsid w:val="00E2702E"/>
    <w:rsid w:val="00E505C5"/>
    <w:rsid w:val="00E95C4B"/>
    <w:rsid w:val="00FE28FC"/>
    <w:rsid w:val="00FF452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CF77D"/>
  <w15:docId w15:val="{ACA02227-15B6-461B-8AF1-0CDCFD549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FF452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pPr>
      <w:spacing w:after="0" w:line="240" w:lineRule="auto"/>
    </w:pPr>
    <w:rPr>
      <w:rFonts w:ascii="Tahoma" w:hAnsi="Tahoma" w:cs="Tahoma"/>
      <w:sz w:val="18"/>
      <w:szCs w:val="18"/>
    </w:rPr>
  </w:style>
  <w:style w:type="character" w:customStyle="1" w:styleId="BalloonTextChar">
    <w:name w:val="Balloon Text Char"/>
    <w:basedOn w:val="DefaultParagraphFont"/>
    <w:link w:val="BalloonText"/>
    <w:uiPriority w:val="99"/>
    <w:semiHidden/>
    <w:rPr>
      <w:rFonts w:ascii="Tahoma" w:hAnsi="Tahoma" w:cs="Tahoma"/>
      <w:sz w:val="18"/>
      <w:szCs w:val="18"/>
    </w:rPr>
  </w:style>
  <w:style w:type="character" w:styleId="Strong">
    <w:name w:val="Strong"/>
    <w:basedOn w:val="DefaultParagraphFont"/>
    <w:uiPriority w:val="22"/>
    <w:qFormat/>
    <w:rPr>
      <w:b/>
      <w:bCs/>
    </w:rPr>
  </w:style>
  <w:style w:type="character" w:styleId="Hyperlink">
    <w:name w:val="Hyperlink"/>
    <w:basedOn w:val="DefaultParagraphFont"/>
    <w:uiPriority w:val="99"/>
    <w:unhideWhenUsed/>
    <w:rPr>
      <w:color w:val="0000FF"/>
      <w:u w:val="single"/>
    </w:rPr>
  </w:style>
  <w:style w:type="character" w:customStyle="1" w:styleId="apple-converted-space">
    <w:name w:val="apple-converted-space"/>
    <w:basedOn w:val="DefaultParagraphFont"/>
  </w:style>
  <w:style w:type="paragraph" w:styleId="Header">
    <w:name w:val="header"/>
    <w:basedOn w:val="Normal"/>
    <w:link w:val="HeaderChar"/>
    <w:semiHidden/>
    <w:pPr>
      <w:tabs>
        <w:tab w:val="center" w:pos="4153"/>
        <w:tab w:val="right" w:pos="8306"/>
      </w:tabs>
      <w:bidi w:val="0"/>
      <w:spacing w:after="0" w:line="240" w:lineRule="auto"/>
    </w:pPr>
    <w:rPr>
      <w:rFonts w:ascii="Times New Roman" w:eastAsia="Times New Roman" w:hAnsi="Times New Roman" w:cs="Times New Roman"/>
      <w:sz w:val="24"/>
      <w:szCs w:val="24"/>
      <w:lang w:eastAsia="he-IL"/>
    </w:rPr>
  </w:style>
  <w:style w:type="character" w:customStyle="1" w:styleId="HeaderChar">
    <w:name w:val="Header Char"/>
    <w:basedOn w:val="DefaultParagraphFont"/>
    <w:link w:val="Header"/>
    <w:semiHidden/>
    <w:rPr>
      <w:rFonts w:ascii="Times New Roman" w:eastAsia="Times New Roman" w:hAnsi="Times New Roman" w:cs="Times New Roman"/>
      <w:sz w:val="24"/>
      <w:szCs w:val="24"/>
      <w:lang w:eastAsia="he-IL"/>
    </w:rPr>
  </w:style>
  <w:style w:type="paragraph" w:styleId="BodyTextIndent">
    <w:name w:val="Body Text Indent"/>
    <w:basedOn w:val="Normal"/>
    <w:link w:val="BodyTextIndentChar"/>
    <w:pPr>
      <w:spacing w:after="0" w:line="360" w:lineRule="auto"/>
      <w:ind w:left="720"/>
      <w:jc w:val="both"/>
    </w:pPr>
    <w:rPr>
      <w:rFonts w:ascii="Times New Roman" w:eastAsia="Times New Roman" w:hAnsi="Times New Roman" w:cs="David"/>
      <w:b/>
      <w:bCs/>
      <w:sz w:val="24"/>
      <w:szCs w:val="24"/>
      <w:lang w:eastAsia="he-IL"/>
    </w:rPr>
  </w:style>
  <w:style w:type="character" w:customStyle="1" w:styleId="BodyTextIndentChar">
    <w:name w:val="Body Text Indent Char"/>
    <w:basedOn w:val="DefaultParagraphFont"/>
    <w:link w:val="BodyTextIndent"/>
    <w:rPr>
      <w:rFonts w:ascii="Times New Roman" w:eastAsia="Times New Roman" w:hAnsi="Times New Roman" w:cs="David"/>
      <w:b/>
      <w:bCs/>
      <w:sz w:val="24"/>
      <w:szCs w:val="24"/>
      <w:lang w:eastAsia="he-IL"/>
    </w:rPr>
  </w:style>
  <w:style w:type="paragraph" w:styleId="NoSpacing">
    <w:name w:val="No Spacing"/>
    <w:uiPriority w:val="1"/>
    <w:qFormat/>
    <w:rsid w:val="0013306E"/>
    <w:pPr>
      <w:bidi/>
      <w:spacing w:after="0" w:line="240" w:lineRule="auto"/>
    </w:pPr>
  </w:style>
  <w:style w:type="character" w:customStyle="1" w:styleId="Heading1Char">
    <w:name w:val="Heading 1 Char"/>
    <w:basedOn w:val="DefaultParagraphFont"/>
    <w:link w:val="Heading1"/>
    <w:uiPriority w:val="9"/>
    <w:rsid w:val="00FF452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FF4525"/>
    <w:pPr>
      <w:spacing w:line="259" w:lineRule="auto"/>
      <w:outlineLvl w:val="9"/>
    </w:pPr>
    <w:rPr>
      <w:rtl/>
      <w:cs/>
      <w:lang w:val="en-GB" w:eastAsia="en-GB"/>
    </w:rPr>
  </w:style>
  <w:style w:type="paragraph" w:styleId="TOC1">
    <w:name w:val="toc 1"/>
    <w:basedOn w:val="Normal"/>
    <w:next w:val="Normal"/>
    <w:autoRedefine/>
    <w:uiPriority w:val="39"/>
    <w:unhideWhenUsed/>
    <w:rsid w:val="00FF4525"/>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8905677">
      <w:bodyDiv w:val="1"/>
      <w:marLeft w:val="0"/>
      <w:marRight w:val="0"/>
      <w:marTop w:val="0"/>
      <w:marBottom w:val="0"/>
      <w:divBdr>
        <w:top w:val="none" w:sz="0" w:space="0" w:color="auto"/>
        <w:left w:val="none" w:sz="0" w:space="0" w:color="auto"/>
        <w:bottom w:val="none" w:sz="0" w:space="0" w:color="auto"/>
        <w:right w:val="none" w:sz="0" w:space="0" w:color="auto"/>
      </w:divBdr>
    </w:div>
    <w:div w:id="1320966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evo.co.il/case/2278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evo.co.il/case/225705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15836-99B0-4510-8BDB-04ECCC162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7</Pages>
  <Words>2184</Words>
  <Characters>10920</Characters>
  <Application>Microsoft Office Word</Application>
  <DocSecurity>0</DocSecurity>
  <Lines>91</Lines>
  <Paragraphs>26</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13078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פרקטיקל</dc:creator>
  <cp:lastModifiedBy>Jasmine Mann Dahan</cp:lastModifiedBy>
  <cp:revision>6</cp:revision>
  <cp:lastPrinted>2020-06-14T13:02:00Z</cp:lastPrinted>
  <dcterms:created xsi:type="dcterms:W3CDTF">2021-05-22T16:19:00Z</dcterms:created>
  <dcterms:modified xsi:type="dcterms:W3CDTF">2024-06-20T15:26:00Z</dcterms:modified>
</cp:coreProperties>
</file>