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B30" w:rsidRPr="00177B30" w:rsidRDefault="00177B30" w:rsidP="00177B30">
      <w:pPr>
        <w:shd w:val="clear" w:color="auto" w:fill="FFFFFF"/>
        <w:bidi/>
        <w:spacing w:after="0" w:line="240" w:lineRule="auto"/>
        <w:jc w:val="center"/>
        <w:rPr>
          <w:rFonts w:asciiTheme="majorBidi" w:eastAsia="Times New Roman" w:hAnsiTheme="majorBidi" w:cstheme="majorBidi"/>
          <w:b/>
          <w:bCs/>
          <w:color w:val="70AD47" w:themeColor="accent6"/>
          <w:sz w:val="28"/>
          <w:szCs w:val="28"/>
          <w:lang w:val="en-IL" w:eastAsia="en-IL"/>
        </w:rPr>
      </w:pPr>
      <w:r w:rsidRPr="00177B30">
        <w:rPr>
          <w:rFonts w:asciiTheme="majorBidi" w:eastAsia="Times New Roman" w:hAnsiTheme="majorBidi" w:cstheme="majorBidi"/>
          <w:b/>
          <w:bCs/>
          <w:color w:val="70AD47" w:themeColor="accent6"/>
          <w:sz w:val="28"/>
          <w:szCs w:val="28"/>
          <w:rtl/>
          <w:lang w:val="en-IL" w:eastAsia="en-IL"/>
        </w:rPr>
        <w:t>מהתוספת הראשונה לחוק אשראי הוגן:</w:t>
      </w:r>
    </w:p>
    <w:p w:rsidR="00177B30" w:rsidRPr="00177B30" w:rsidRDefault="00177B30" w:rsidP="00177B30">
      <w:pPr>
        <w:shd w:val="clear" w:color="auto" w:fill="FFFFFF"/>
        <w:bidi/>
        <w:spacing w:after="0" w:line="240" w:lineRule="auto"/>
        <w:jc w:val="center"/>
        <w:rPr>
          <w:rFonts w:asciiTheme="majorBidi" w:eastAsia="Times New Roman" w:hAnsiTheme="majorBidi" w:cstheme="majorBidi"/>
          <w:color w:val="222222"/>
          <w:sz w:val="28"/>
          <w:szCs w:val="28"/>
          <w:rtl/>
          <w:lang w:val="en-IL" w:eastAsia="en-IL"/>
        </w:rPr>
      </w:pP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(סעיף 1, ההגדרה "שיעור העלות המרבית של האשראי")</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b/>
          <w:bCs/>
          <w:color w:val="222222"/>
          <w:sz w:val="28"/>
          <w:szCs w:val="28"/>
          <w:rtl/>
          <w:lang w:val="en-IL" w:eastAsia="en-IL"/>
        </w:rPr>
      </w:pPr>
      <w:r w:rsidRPr="00177B30">
        <w:rPr>
          <w:rFonts w:asciiTheme="majorBidi" w:eastAsia="Times New Roman" w:hAnsiTheme="majorBidi" w:cstheme="majorBidi"/>
          <w:b/>
          <w:bCs/>
          <w:color w:val="222222"/>
          <w:sz w:val="28"/>
          <w:szCs w:val="28"/>
          <w:rtl/>
          <w:lang w:val="en-IL" w:eastAsia="en-IL"/>
        </w:rPr>
        <w:t>שיעור העלות המרבית של האשראי</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(1)      לגבי הלוואה הניתנת בשקלים חדשים – ריבית בנק ישראל בתוספת 15 נקודות האחוז; לעניין זה, "ריבית בנק ישראל" – הריבית שקובע בנק ישראל במסגרת ההחלטות המוניטריות התקופתיו, המשמשת את הבנק לצורך מתן הלוואות לתאגידים הבנקאיים או לצורך קבלת הלוואות מתאגידים בנקאיים, כשיעורה מזמן לזמן, המתפרסמת באתר האינטרנט של בנק ישראל, והידועה במועד כריתת חוזה ההלוואה;</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(2)      לגבי הלוואה הניתנת במטבע חוץ – ריבית הליבור בתוספת 15 נקודות האחוז, ואם ההלוואה ניתנת במטבע של מדינת חוץ שלגביו לא מפורסם מדד הליבור – ריבית הבנק המרכזי באותה מדינה בתוספת 15 נקודות האחוז; לעניין זה, "ריבית הליבור" – ריבית סמן יומית להלוואות בין-בנקאיות לפרק זמן של שנה בין הבנקים בלונדון (</w:t>
      </w:r>
      <w:r w:rsidRPr="00177B30">
        <w:rPr>
          <w:rFonts w:asciiTheme="majorBidi" w:eastAsia="Times New Roman" w:hAnsiTheme="majorBidi" w:cstheme="majorBidi"/>
          <w:color w:val="222222"/>
          <w:sz w:val="28"/>
          <w:szCs w:val="28"/>
          <w:lang w:val="en-IL" w:eastAsia="en-IL"/>
        </w:rPr>
        <w:t>London Inter-Bank Offered Rate</w:t>
      </w:r>
      <w:r w:rsidRPr="00177B30">
        <w:rPr>
          <w:rFonts w:asciiTheme="majorBidi" w:eastAsia="Times New Roman" w:hAnsiTheme="majorBidi" w:cstheme="majorBidi"/>
          <w:color w:val="222222"/>
          <w:sz w:val="28"/>
          <w:szCs w:val="28"/>
          <w:rtl/>
          <w:lang w:val="en-IL" w:eastAsia="en-IL"/>
        </w:rPr>
        <w:t>) המתפרסמת ליד</w:t>
      </w:r>
      <w:bookmarkStart w:id="0" w:name="_GoBack"/>
      <w:bookmarkEnd w:id="0"/>
      <w:r w:rsidRPr="00177B30">
        <w:rPr>
          <w:rFonts w:asciiTheme="majorBidi" w:eastAsia="Times New Roman" w:hAnsiTheme="majorBidi" w:cstheme="majorBidi"/>
          <w:color w:val="222222"/>
          <w:sz w:val="28"/>
          <w:szCs w:val="28"/>
          <w:rtl/>
          <w:lang w:val="en-IL" w:eastAsia="en-IL"/>
        </w:rPr>
        <w:t>יעת הציבור;</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jc w:val="center"/>
        <w:rPr>
          <w:rFonts w:asciiTheme="majorBidi" w:eastAsia="Times New Roman" w:hAnsiTheme="majorBidi" w:cstheme="majorBidi"/>
          <w:b/>
          <w:bCs/>
          <w:color w:val="70AD47" w:themeColor="accent6"/>
          <w:sz w:val="28"/>
          <w:szCs w:val="28"/>
          <w:rtl/>
          <w:lang w:val="en-IL" w:eastAsia="en-IL"/>
        </w:rPr>
      </w:pPr>
      <w:r w:rsidRPr="00177B30">
        <w:rPr>
          <w:rFonts w:asciiTheme="majorBidi" w:eastAsia="Times New Roman" w:hAnsiTheme="majorBidi" w:cstheme="majorBidi"/>
          <w:b/>
          <w:bCs/>
          <w:color w:val="70AD47" w:themeColor="accent6"/>
          <w:sz w:val="28"/>
          <w:szCs w:val="28"/>
          <w:rtl/>
          <w:lang w:val="en-IL" w:eastAsia="en-IL"/>
        </w:rPr>
        <w:t>פקודת השטרות:</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b/>
          <w:bCs/>
          <w:color w:val="222222"/>
          <w:sz w:val="28"/>
          <w:szCs w:val="28"/>
          <w:rtl/>
          <w:lang w:val="en-IL" w:eastAsia="en-IL"/>
        </w:rPr>
      </w:pPr>
      <w:r w:rsidRPr="00177B30">
        <w:rPr>
          <w:rFonts w:asciiTheme="majorBidi" w:eastAsia="Times New Roman" w:hAnsiTheme="majorBidi" w:cstheme="majorBidi"/>
          <w:b/>
          <w:bCs/>
          <w:color w:val="222222"/>
          <w:sz w:val="28"/>
          <w:szCs w:val="28"/>
          <w:rtl/>
          <w:lang w:val="en-IL" w:eastAsia="en-IL"/>
        </w:rPr>
        <w:t>אוחז כשורה</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28.   (א)  אוחז כשורה הוא אוחז שנטל את השטר כשהוא שלם ותקין לפי מראהו ובתנאים אלה:</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(1)   נעשה אוחז השטר לפני שעבר זמנו, ולא היתה לו כל ידיעה שהשטר חולל לפני כן, אם אמנם חולל;</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(2)   נטל את השטר בתום לב ובעד ערך ובשעה שסיחרו לו את השטר לא היתה לו כל ידיעה שזכות קנינו של המסחר פגומה.</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(ב)  ביחוד זכות קנינו של מסחר שטר פגומה כמשמעותו בפקודה זו, אם השיג את השטר, או את הקיבול, על ידי רמאות, כפיה, או אלימות ופחד, או באמצעים אחרים שאינם כדין, או בתמורה אי-חוקית, או כשהוא מסחר את השטר אגב מעילה באמון, או בנסיבות העולות כדי רמאות.</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w:t>
      </w:r>
    </w:p>
    <w:p w:rsidR="00177B30" w:rsidRPr="00177B30" w:rsidRDefault="00177B30" w:rsidP="00177B30">
      <w:pPr>
        <w:shd w:val="clear" w:color="auto" w:fill="FFFFFF"/>
        <w:bidi/>
        <w:spacing w:after="0" w:line="240" w:lineRule="auto"/>
        <w:rPr>
          <w:rFonts w:asciiTheme="majorBidi" w:eastAsia="Times New Roman" w:hAnsiTheme="majorBidi" w:cstheme="majorBidi"/>
          <w:color w:val="222222"/>
          <w:sz w:val="28"/>
          <w:szCs w:val="28"/>
          <w:rtl/>
          <w:lang w:val="en-IL" w:eastAsia="en-IL"/>
        </w:rPr>
      </w:pPr>
      <w:r w:rsidRPr="00177B30">
        <w:rPr>
          <w:rFonts w:asciiTheme="majorBidi" w:eastAsia="Times New Roman" w:hAnsiTheme="majorBidi" w:cstheme="majorBidi"/>
          <w:color w:val="222222"/>
          <w:sz w:val="28"/>
          <w:szCs w:val="28"/>
          <w:rtl/>
          <w:lang w:val="en-IL" w:eastAsia="en-IL"/>
        </w:rPr>
        <w:t>           (ג)   אוחז, בין בעד ערך ובין שלא בעד ערך, שזכות קנינו בשטר הגיעה לו מכוח אוחז כשורה ושאיננו שותף לשום רמאות או אי חוקיות הפוגעות בשטר, יש לו כל הזכויות אשר לאותו אוחז כשורה כלפי הקבל וכלפי כל הצדדים לשטר שקדמו לאותו אוחז.</w:t>
      </w:r>
    </w:p>
    <w:p w:rsidR="00483099" w:rsidRPr="00177B30" w:rsidRDefault="00177B30" w:rsidP="00177B30">
      <w:pPr>
        <w:bidi/>
        <w:rPr>
          <w:rFonts w:asciiTheme="majorBidi" w:hAnsiTheme="majorBidi" w:cstheme="majorBidi"/>
          <w:sz w:val="24"/>
          <w:szCs w:val="24"/>
        </w:rPr>
      </w:pPr>
    </w:p>
    <w:sectPr w:rsidR="00483099" w:rsidRPr="00177B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altName w:val="Arial Narrow"/>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B30"/>
    <w:rsid w:val="00177B30"/>
    <w:rsid w:val="00A26822"/>
    <w:rsid w:val="00EE2457"/>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BFC418-9448-423D-A17E-B2A2312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229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Rony</dc:creator>
  <cp:keywords/>
  <dc:description/>
  <cp:lastModifiedBy>Dan, Rony</cp:lastModifiedBy>
  <cp:revision>1</cp:revision>
  <dcterms:created xsi:type="dcterms:W3CDTF">2020-07-21T17:58:00Z</dcterms:created>
  <dcterms:modified xsi:type="dcterms:W3CDTF">2020-07-21T18:01:00Z</dcterms:modified>
</cp:coreProperties>
</file>